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6B79C" w14:textId="5CAA41B2" w:rsidR="005325F4" w:rsidRPr="00526B0A" w:rsidRDefault="008406D0" w:rsidP="00E13A86">
      <w:pPr>
        <w:rPr>
          <w:lang w:val="is-IS"/>
        </w:rPr>
      </w:pPr>
      <w:r>
        <w:rPr>
          <w:noProof/>
          <w:lang w:val="is-IS" w:eastAsia="is-IS"/>
        </w:rPr>
        <w:drawing>
          <wp:anchor distT="0" distB="0" distL="114300" distR="114300" simplePos="0" relativeHeight="251659264" behindDoc="0" locked="0" layoutInCell="1" allowOverlap="1" wp14:anchorId="7E41F6F7" wp14:editId="45149BCC">
            <wp:simplePos x="0" y="0"/>
            <wp:positionH relativeFrom="column">
              <wp:posOffset>4678045</wp:posOffset>
            </wp:positionH>
            <wp:positionV relativeFrom="paragraph">
              <wp:posOffset>-968626</wp:posOffset>
            </wp:positionV>
            <wp:extent cx="1224000" cy="117253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ogo-RGB.png"/>
                    <pic:cNvPicPr/>
                  </pic:nvPicPr>
                  <pic:blipFill>
                    <a:blip r:embed="rId11" r:link="rId12">
                      <a:extLst>
                        <a:ext uri="{28A0092B-C50C-407E-A947-70E740481C1C}">
                          <a14:useLocalDpi xmlns:a14="http://schemas.microsoft.com/office/drawing/2010/main" val="0"/>
                        </a:ext>
                      </a:extLst>
                    </a:blip>
                    <a:stretch>
                      <a:fillRect/>
                    </a:stretch>
                  </pic:blipFill>
                  <pic:spPr>
                    <a:xfrm>
                      <a:off x="0" y="0"/>
                      <a:ext cx="1224000" cy="117253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F5A4D">
        <w:rPr>
          <w:lang w:val="is-IS"/>
        </w:rPr>
        <w:t>Velferðarnefnd Alþingis</w:t>
      </w:r>
    </w:p>
    <w:p w14:paraId="0F1EBBCF" w14:textId="1D26FCAE" w:rsidR="00C45201" w:rsidRPr="00526B0A" w:rsidRDefault="004F5A4D" w:rsidP="00E13A86">
      <w:pPr>
        <w:rPr>
          <w:lang w:val="is-IS"/>
        </w:rPr>
      </w:pPr>
      <w:r>
        <w:rPr>
          <w:lang w:val="is-IS"/>
        </w:rPr>
        <w:t>Nefndarsvið Alþingis</w:t>
      </w:r>
    </w:p>
    <w:p w14:paraId="2917A966" w14:textId="5438141D" w:rsidR="00B42824" w:rsidRDefault="004F5A4D" w:rsidP="00E13A86">
      <w:pPr>
        <w:rPr>
          <w:lang w:val="is-IS"/>
        </w:rPr>
      </w:pPr>
      <w:r>
        <w:rPr>
          <w:lang w:val="is-IS"/>
        </w:rPr>
        <w:t>Austurstræti 8-10</w:t>
      </w:r>
      <w:r>
        <w:rPr>
          <w:lang w:val="is-IS"/>
        </w:rPr>
        <w:br/>
      </w:r>
      <w:r w:rsidR="00C45201" w:rsidRPr="00526B0A">
        <w:rPr>
          <w:lang w:val="is-IS"/>
        </w:rPr>
        <w:t>1</w:t>
      </w:r>
      <w:r>
        <w:rPr>
          <w:lang w:val="is-IS"/>
        </w:rPr>
        <w:t>50</w:t>
      </w:r>
      <w:r w:rsidR="00C45201" w:rsidRPr="00526B0A">
        <w:rPr>
          <w:lang w:val="is-IS"/>
        </w:rPr>
        <w:t xml:space="preserve"> Reykjaví</w:t>
      </w:r>
      <w:r w:rsidR="00B42824">
        <w:rPr>
          <w:lang w:val="is-IS"/>
        </w:rPr>
        <w:t>k</w:t>
      </w:r>
    </w:p>
    <w:p w14:paraId="0BCA868C" w14:textId="0DF78F09" w:rsidR="00B42824" w:rsidRDefault="00B42824" w:rsidP="00E13A86">
      <w:pPr>
        <w:rPr>
          <w:lang w:val="is-IS"/>
        </w:rPr>
      </w:pPr>
    </w:p>
    <w:p w14:paraId="73987030" w14:textId="7C32C6E8" w:rsidR="00C45201" w:rsidRPr="00526B0A" w:rsidRDefault="00B42824" w:rsidP="00B42824">
      <w:pPr>
        <w:jc w:val="right"/>
        <w:rPr>
          <w:lang w:val="is-IS"/>
        </w:rPr>
      </w:pPr>
      <w:r>
        <w:rPr>
          <w:lang w:val="is-IS"/>
        </w:rPr>
        <w:t xml:space="preserve">Reykjavík, </w:t>
      </w:r>
      <w:r w:rsidR="004F5A4D">
        <w:rPr>
          <w:lang w:val="is-IS"/>
        </w:rPr>
        <w:t>19</w:t>
      </w:r>
      <w:r w:rsidR="00C45201" w:rsidRPr="00526B0A">
        <w:rPr>
          <w:lang w:val="is-IS"/>
        </w:rPr>
        <w:t xml:space="preserve">. </w:t>
      </w:r>
      <w:r w:rsidR="004F5A4D">
        <w:rPr>
          <w:lang w:val="is-IS"/>
        </w:rPr>
        <w:t>júní</w:t>
      </w:r>
      <w:r w:rsidR="00B14A2F">
        <w:rPr>
          <w:lang w:val="is-IS"/>
        </w:rPr>
        <w:t xml:space="preserve"> 2020</w:t>
      </w:r>
    </w:p>
    <w:p w14:paraId="3A14DEA5" w14:textId="77777777" w:rsidR="00C45201" w:rsidRPr="00526B0A" w:rsidRDefault="00C45201" w:rsidP="00E13A86">
      <w:pPr>
        <w:rPr>
          <w:lang w:val="is-IS"/>
        </w:rPr>
      </w:pPr>
    </w:p>
    <w:p w14:paraId="4DAE277F" w14:textId="2CE00746" w:rsidR="00BB129C" w:rsidRDefault="002B2846" w:rsidP="00861343">
      <w:pPr>
        <w:jc w:val="both"/>
        <w:rPr>
          <w:b/>
          <w:lang w:val="is-IS"/>
        </w:rPr>
      </w:pPr>
      <w:r>
        <w:rPr>
          <w:b/>
          <w:lang w:val="is-IS"/>
        </w:rPr>
        <w:t xml:space="preserve">Efni: </w:t>
      </w:r>
      <w:r w:rsidR="004F5A4D">
        <w:rPr>
          <w:b/>
          <w:lang w:val="is-IS"/>
        </w:rPr>
        <w:t xml:space="preserve">Umsögn um frumvarp laga um breytingu á lögum um húsnæðismál (hlutdeildarlán) </w:t>
      </w:r>
    </w:p>
    <w:p w14:paraId="2D2E1EE3" w14:textId="2FEC4C78" w:rsidR="00C45201" w:rsidRPr="00BB129C" w:rsidRDefault="00EF3581" w:rsidP="00861343">
      <w:pPr>
        <w:jc w:val="both"/>
        <w:rPr>
          <w:lang w:val="is-IS"/>
        </w:rPr>
      </w:pPr>
      <w:r>
        <w:rPr>
          <w:lang w:val="is-IS"/>
        </w:rPr>
        <w:t xml:space="preserve">Mál nr. </w:t>
      </w:r>
      <w:r w:rsidR="004F5A4D">
        <w:rPr>
          <w:lang w:val="is-IS"/>
        </w:rPr>
        <w:t>926</w:t>
      </w:r>
    </w:p>
    <w:p w14:paraId="5D63A595" w14:textId="77777777" w:rsidR="00AB6338" w:rsidRDefault="00AB6338" w:rsidP="00EF3581">
      <w:pPr>
        <w:jc w:val="both"/>
        <w:rPr>
          <w:lang w:val="is-IS"/>
        </w:rPr>
      </w:pPr>
    </w:p>
    <w:p w14:paraId="14B8C4D6" w14:textId="6251D1DC" w:rsidR="0082159F" w:rsidRDefault="002B2846" w:rsidP="00EF3581">
      <w:pPr>
        <w:jc w:val="both"/>
        <w:rPr>
          <w:lang w:val="is-IS"/>
        </w:rPr>
      </w:pPr>
      <w:r>
        <w:rPr>
          <w:lang w:val="is-IS"/>
        </w:rPr>
        <w:t xml:space="preserve">Samtök </w:t>
      </w:r>
      <w:r w:rsidR="00502106">
        <w:rPr>
          <w:lang w:val="is-IS"/>
        </w:rPr>
        <w:t>a</w:t>
      </w:r>
      <w:r>
        <w:rPr>
          <w:lang w:val="is-IS"/>
        </w:rPr>
        <w:t xml:space="preserve">tvinnulífsins </w:t>
      </w:r>
      <w:r w:rsidR="00110B10">
        <w:rPr>
          <w:lang w:val="is-IS"/>
        </w:rPr>
        <w:t xml:space="preserve">hafa </w:t>
      </w:r>
      <w:r>
        <w:rPr>
          <w:lang w:val="is-IS"/>
        </w:rPr>
        <w:t>tekið til umsagnar</w:t>
      </w:r>
      <w:r w:rsidR="004F5A4D">
        <w:rPr>
          <w:lang w:val="is-IS"/>
        </w:rPr>
        <w:t xml:space="preserve"> frumvarp félags- og barnamálaráðherra </w:t>
      </w:r>
      <w:r w:rsidR="00044B69">
        <w:rPr>
          <w:lang w:val="is-IS"/>
        </w:rPr>
        <w:t>til laga um hlutdeildarlán</w:t>
      </w:r>
      <w:r w:rsidR="00B14A2F">
        <w:rPr>
          <w:lang w:val="is-IS"/>
        </w:rPr>
        <w:t>.</w:t>
      </w:r>
      <w:r w:rsidR="00AD519B">
        <w:rPr>
          <w:lang w:val="is-IS"/>
        </w:rPr>
        <w:t xml:space="preserve"> Frumvarpið er afrakstur vinnu sem hófst í aðdraganda kjarasamningsviðræðna á almennum vinnumarkaði. </w:t>
      </w:r>
      <w:r w:rsidR="00044B69">
        <w:rPr>
          <w:lang w:val="is-IS"/>
        </w:rPr>
        <w:t>Markmið frumvarpsins er að bæta stöðu ungra og tekjulágra á húsnæðismarkaði.</w:t>
      </w:r>
      <w:r w:rsidR="00AD519B">
        <w:rPr>
          <w:lang w:val="is-IS"/>
        </w:rPr>
        <w:t xml:space="preserve"> Samtök atvinnulífsins </w:t>
      </w:r>
      <w:r w:rsidR="004D415C">
        <w:rPr>
          <w:lang w:val="is-IS"/>
        </w:rPr>
        <w:t>taka undir mikilvægi þess að styðja sérstaklega við þessa hópa</w:t>
      </w:r>
      <w:r w:rsidR="008E747B">
        <w:rPr>
          <w:lang w:val="is-IS"/>
        </w:rPr>
        <w:t>. Þá mun úrræðið hafa jákvæð áhrif á byggingamarkaðinn og getur virkað sem sveiflujafnari á þann markað þegar hægir á nýbyggingu íbúðarhúsnæðis.</w:t>
      </w:r>
      <w:r w:rsidR="004D415C">
        <w:rPr>
          <w:lang w:val="is-IS"/>
        </w:rPr>
        <w:t xml:space="preserve"> </w:t>
      </w:r>
      <w:r w:rsidR="008E747B">
        <w:rPr>
          <w:lang w:val="is-IS"/>
        </w:rPr>
        <w:t xml:space="preserve">Samtök atvinnulífsins setja þó </w:t>
      </w:r>
      <w:r w:rsidR="00FF741A">
        <w:rPr>
          <w:lang w:val="is-IS"/>
        </w:rPr>
        <w:t xml:space="preserve">fyrirvara </w:t>
      </w:r>
      <w:r w:rsidR="006E2AB1">
        <w:rPr>
          <w:lang w:val="is-IS"/>
        </w:rPr>
        <w:t>við</w:t>
      </w:r>
      <w:r w:rsidR="00FF741A">
        <w:rPr>
          <w:lang w:val="is-IS"/>
        </w:rPr>
        <w:t xml:space="preserve"> frumvarpið sem þau vilja koma á framfæri.</w:t>
      </w:r>
    </w:p>
    <w:p w14:paraId="29B0F901" w14:textId="23918CED" w:rsidR="00CA0D88" w:rsidRDefault="00CA0D88" w:rsidP="00EF3581">
      <w:pPr>
        <w:jc w:val="both"/>
        <w:rPr>
          <w:lang w:val="is-IS"/>
        </w:rPr>
      </w:pPr>
    </w:p>
    <w:p w14:paraId="7831F371" w14:textId="77777777" w:rsidR="009C3690" w:rsidRDefault="004C492E" w:rsidP="009C3690">
      <w:pPr>
        <w:pStyle w:val="ListParagraph"/>
        <w:numPr>
          <w:ilvl w:val="0"/>
          <w:numId w:val="13"/>
        </w:numPr>
        <w:jc w:val="both"/>
        <w:rPr>
          <w:lang w:val="is-IS"/>
        </w:rPr>
      </w:pPr>
      <w:r>
        <w:rPr>
          <w:lang w:val="is-IS"/>
        </w:rPr>
        <w:t>Læra þarf af reynslu annarra ríkja af sambærilegum úrræðum og sníða af helstu agnúa hlutdeildarlánanna til að endurtaka ekki mistök þessara ríkja.</w:t>
      </w:r>
    </w:p>
    <w:p w14:paraId="74D97F5C" w14:textId="137AC04C" w:rsidR="009C3690" w:rsidRDefault="009C3690" w:rsidP="009C3690">
      <w:pPr>
        <w:pStyle w:val="ListParagraph"/>
        <w:numPr>
          <w:ilvl w:val="0"/>
          <w:numId w:val="13"/>
        </w:numPr>
        <w:jc w:val="both"/>
        <w:rPr>
          <w:lang w:val="is-IS"/>
        </w:rPr>
      </w:pPr>
      <w:r>
        <w:rPr>
          <w:lang w:val="is-IS"/>
        </w:rPr>
        <w:t>Nokkur skilyrði frumvarpsins vinna gegn því markmiði</w:t>
      </w:r>
      <w:r w:rsidRPr="009467B8">
        <w:rPr>
          <w:lang w:val="is-IS"/>
        </w:rPr>
        <w:t xml:space="preserve"> </w:t>
      </w:r>
      <w:r>
        <w:rPr>
          <w:lang w:val="is-IS"/>
        </w:rPr>
        <w:t>að hjálpa tekjulágum að kaupa sér fasteign</w:t>
      </w:r>
      <w:r w:rsidR="0089321B">
        <w:rPr>
          <w:lang w:val="is-IS"/>
        </w:rPr>
        <w:t xml:space="preserve"> og leiða til þess að stuðningurinn renni að stórum hluta til þeirra sem þurfa ekki á honum að halda</w:t>
      </w:r>
      <w:r>
        <w:rPr>
          <w:lang w:val="is-IS"/>
        </w:rPr>
        <w:t>.</w:t>
      </w:r>
    </w:p>
    <w:p w14:paraId="73C429A7" w14:textId="4F11BF0B" w:rsidR="009C3690" w:rsidRDefault="009C3690" w:rsidP="009C3690">
      <w:pPr>
        <w:pStyle w:val="ListParagraph"/>
        <w:numPr>
          <w:ilvl w:val="0"/>
          <w:numId w:val="13"/>
        </w:numPr>
        <w:jc w:val="both"/>
        <w:rPr>
          <w:lang w:val="is-IS"/>
        </w:rPr>
      </w:pPr>
      <w:r>
        <w:rPr>
          <w:lang w:val="is-IS"/>
        </w:rPr>
        <w:t xml:space="preserve">Heimildir ráðherra til </w:t>
      </w:r>
      <w:r w:rsidR="00A479B6">
        <w:rPr>
          <w:lang w:val="is-IS"/>
        </w:rPr>
        <w:t xml:space="preserve">að </w:t>
      </w:r>
      <w:r>
        <w:rPr>
          <w:lang w:val="is-IS"/>
        </w:rPr>
        <w:t>setja reglugerðir sem eig</w:t>
      </w:r>
      <w:r w:rsidR="00A479B6">
        <w:rPr>
          <w:lang w:val="is-IS"/>
        </w:rPr>
        <w:t>a</w:t>
      </w:r>
      <w:r>
        <w:rPr>
          <w:lang w:val="is-IS"/>
        </w:rPr>
        <w:t xml:space="preserve"> að kveða nánar </w:t>
      </w:r>
      <w:r w:rsidR="00A479B6">
        <w:rPr>
          <w:lang w:val="is-IS"/>
        </w:rPr>
        <w:t xml:space="preserve">á </w:t>
      </w:r>
      <w:r>
        <w:rPr>
          <w:lang w:val="is-IS"/>
        </w:rPr>
        <w:t>um hlutdeildarlán eru of rúmar.</w:t>
      </w:r>
    </w:p>
    <w:p w14:paraId="412FF202" w14:textId="77777777" w:rsidR="006E2AB1" w:rsidRPr="006E2AB1" w:rsidRDefault="006E2AB1" w:rsidP="006E2AB1">
      <w:pPr>
        <w:jc w:val="both"/>
        <w:rPr>
          <w:lang w:val="is-IS"/>
        </w:rPr>
      </w:pPr>
    </w:p>
    <w:p w14:paraId="3D5B21E1" w14:textId="30B516BD" w:rsidR="006E2AB1" w:rsidRPr="006E2AB1" w:rsidRDefault="006E2AB1" w:rsidP="006E2AB1">
      <w:pPr>
        <w:jc w:val="both"/>
        <w:rPr>
          <w:b/>
          <w:lang w:val="is-IS"/>
        </w:rPr>
      </w:pPr>
      <w:r>
        <w:rPr>
          <w:b/>
          <w:lang w:val="is-IS"/>
        </w:rPr>
        <w:t xml:space="preserve">Inngangur: </w:t>
      </w:r>
      <w:r w:rsidRPr="006E2AB1">
        <w:rPr>
          <w:b/>
          <w:lang w:val="is-IS"/>
        </w:rPr>
        <w:t xml:space="preserve">Bætt staða ungra og tekjulágra við fasteignakaup er mikilvægur hlekkur í stuðningi stjórnvalda við </w:t>
      </w:r>
      <w:r w:rsidR="009467B8">
        <w:rPr>
          <w:b/>
          <w:lang w:val="is-IS"/>
        </w:rPr>
        <w:t>L</w:t>
      </w:r>
      <w:r w:rsidRPr="006E2AB1">
        <w:rPr>
          <w:b/>
          <w:lang w:val="is-IS"/>
        </w:rPr>
        <w:t>ífskjarasamning</w:t>
      </w:r>
      <w:r w:rsidR="009467B8">
        <w:rPr>
          <w:b/>
          <w:lang w:val="is-IS"/>
        </w:rPr>
        <w:t>inn</w:t>
      </w:r>
    </w:p>
    <w:p w14:paraId="545B1511" w14:textId="6D332471" w:rsidR="006E2AB1" w:rsidRDefault="006E2AB1" w:rsidP="006E2AB1">
      <w:pPr>
        <w:jc w:val="both"/>
        <w:rPr>
          <w:lang w:val="is-IS"/>
        </w:rPr>
      </w:pPr>
      <w:r w:rsidRPr="006E2AB1">
        <w:rPr>
          <w:lang w:val="is-IS"/>
        </w:rPr>
        <w:t>Eitt af markmiðum stjórnarsáttmála</w:t>
      </w:r>
      <w:r w:rsidR="009467B8">
        <w:rPr>
          <w:lang w:val="is-IS"/>
        </w:rPr>
        <w:t>ns</w:t>
      </w:r>
      <w:r w:rsidRPr="006E2AB1">
        <w:rPr>
          <w:lang w:val="is-IS"/>
        </w:rPr>
        <w:t xml:space="preserve"> er að bæta stöðu ungra og tekjulágra á húsnæðismarkaði. Skref í átt að því markmiði hafa verið tekin á kjörtímabilinu með að festa skattfrjálsa ráðstöfun séreignasparnaðar í sessi, áframhaldandi uppbygging almenna íbúðakerfisins ásamt fleir</w:t>
      </w:r>
      <w:r w:rsidR="009467B8">
        <w:rPr>
          <w:lang w:val="is-IS"/>
        </w:rPr>
        <w:t>i</w:t>
      </w:r>
      <w:r w:rsidRPr="006E2AB1">
        <w:rPr>
          <w:lang w:val="is-IS"/>
        </w:rPr>
        <w:t xml:space="preserve"> smærri og sérhæfðari verkefnum.</w:t>
      </w:r>
    </w:p>
    <w:p w14:paraId="164857C7" w14:textId="77777777" w:rsidR="006E2AB1" w:rsidRPr="006E2AB1" w:rsidRDefault="006E2AB1" w:rsidP="006E2AB1">
      <w:pPr>
        <w:jc w:val="both"/>
        <w:rPr>
          <w:lang w:val="is-IS"/>
        </w:rPr>
      </w:pPr>
    </w:p>
    <w:p w14:paraId="4544031E" w14:textId="7FFDDBE5" w:rsidR="006E2AB1" w:rsidRPr="006E2AB1" w:rsidRDefault="006E2AB1" w:rsidP="006E2AB1">
      <w:pPr>
        <w:jc w:val="both"/>
        <w:rPr>
          <w:lang w:val="is-IS"/>
        </w:rPr>
      </w:pPr>
      <w:r w:rsidRPr="006E2AB1">
        <w:rPr>
          <w:lang w:val="is-IS"/>
        </w:rPr>
        <w:t>Í aðdraganda kjarasamningsviðræðna haustið 2018 skipuðu stjórnvöld átakshóp um aukið framboð á íbúðum og aðrar aðgerðir til að bæta stöðu á húsnæðismarkaði (hér eftir átakshópur</w:t>
      </w:r>
      <w:r w:rsidR="009467B8">
        <w:rPr>
          <w:lang w:val="is-IS"/>
        </w:rPr>
        <w:t>inn</w:t>
      </w:r>
      <w:r w:rsidRPr="006E2AB1">
        <w:rPr>
          <w:lang w:val="is-IS"/>
        </w:rPr>
        <w:t>). Átakshópurinn skilaði af sér 40 tillögum í byrjun árs 2019 sem voru grunnurinn að aðgerðum sem stjórnvöld birtu samhliða undirritun Lífskjarasamningsins 3. apríl 2019.</w:t>
      </w:r>
    </w:p>
    <w:p w14:paraId="5D387CD9" w14:textId="77777777" w:rsidR="006E2AB1" w:rsidRPr="006E2AB1" w:rsidRDefault="006E2AB1" w:rsidP="006E2AB1">
      <w:pPr>
        <w:jc w:val="both"/>
        <w:rPr>
          <w:lang w:val="is-IS"/>
        </w:rPr>
      </w:pPr>
    </w:p>
    <w:p w14:paraId="5B1A80B3" w14:textId="76DAE288" w:rsidR="006E2AB1" w:rsidRPr="006E2AB1" w:rsidRDefault="006E2AB1" w:rsidP="006E2AB1">
      <w:pPr>
        <w:jc w:val="both"/>
        <w:rPr>
          <w:lang w:val="is-IS"/>
        </w:rPr>
      </w:pPr>
      <w:r w:rsidRPr="006E2AB1">
        <w:rPr>
          <w:lang w:val="is-IS"/>
        </w:rPr>
        <w:t xml:space="preserve">Í þeim aðgerðum var að finna fyrirheit um að unnið </w:t>
      </w:r>
      <w:r w:rsidR="00A479B6">
        <w:rPr>
          <w:lang w:val="is-IS"/>
        </w:rPr>
        <w:t>yrði</w:t>
      </w:r>
      <w:r w:rsidR="00A479B6" w:rsidRPr="006E2AB1">
        <w:rPr>
          <w:lang w:val="is-IS"/>
        </w:rPr>
        <w:t xml:space="preserve"> </w:t>
      </w:r>
      <w:r w:rsidRPr="006E2AB1">
        <w:rPr>
          <w:lang w:val="is-IS"/>
        </w:rPr>
        <w:t xml:space="preserve">með aðilum vinnumarkaðarins </w:t>
      </w:r>
      <w:r w:rsidR="00A479B6">
        <w:rPr>
          <w:lang w:val="is-IS"/>
        </w:rPr>
        <w:t xml:space="preserve">til </w:t>
      </w:r>
      <w:r w:rsidRPr="006E2AB1">
        <w:rPr>
          <w:lang w:val="is-IS"/>
        </w:rPr>
        <w:t>að finna skynsamlegar leiðir til að auðvelda ungu fólki og tekjulágum fyrstu fasteignakaup t.d. með svokölluðum hlutdeildarlánum. Útfærsla þessara hlutdeildarlána lítur dagsins ljós í frumvarpi þessu sem er til umsagnar</w:t>
      </w:r>
      <w:r w:rsidR="009467B8">
        <w:rPr>
          <w:lang w:val="is-IS"/>
        </w:rPr>
        <w:t xml:space="preserve"> og var ekki unnin í samráði við Samtök atvinnulífsins</w:t>
      </w:r>
      <w:r w:rsidRPr="006E2AB1">
        <w:rPr>
          <w:lang w:val="is-IS"/>
        </w:rPr>
        <w:t>.</w:t>
      </w:r>
    </w:p>
    <w:p w14:paraId="22C83423" w14:textId="77777777" w:rsidR="006E2AB1" w:rsidRPr="006E2AB1" w:rsidRDefault="006E2AB1" w:rsidP="006E2AB1">
      <w:pPr>
        <w:jc w:val="both"/>
        <w:rPr>
          <w:lang w:val="is-IS"/>
        </w:rPr>
      </w:pPr>
    </w:p>
    <w:p w14:paraId="64E071B7" w14:textId="4D921813" w:rsidR="00047FCB" w:rsidRDefault="006E2AB1" w:rsidP="006E2AB1">
      <w:pPr>
        <w:jc w:val="both"/>
        <w:rPr>
          <w:lang w:val="is-IS"/>
        </w:rPr>
      </w:pPr>
      <w:r w:rsidRPr="006E2AB1">
        <w:rPr>
          <w:lang w:val="is-IS"/>
        </w:rPr>
        <w:lastRenderedPageBreak/>
        <w:t>Í frumvarpinu er lagt til að fyrstu kaupendur og þeir sem hafa ekki átt eigið húsnæði í fimm ár eða lengur geti fengið allt að 20% af kaupverði nýbyggð</w:t>
      </w:r>
      <w:r w:rsidR="00FA203C">
        <w:rPr>
          <w:lang w:val="is-IS"/>
        </w:rPr>
        <w:t>r</w:t>
      </w:r>
      <w:r w:rsidRPr="006E2AB1">
        <w:rPr>
          <w:lang w:val="is-IS"/>
        </w:rPr>
        <w:t>ar hagkvæmrar íbúðar í hlutdeildarlán frá ríkinu að uppfylltum ákveðnum skilyrðum.  Lánin bera enga vexti né afborganir heldur eru svokölluð kúlulán þar sem lánþegi greið</w:t>
      </w:r>
      <w:r w:rsidR="009467B8">
        <w:rPr>
          <w:lang w:val="is-IS"/>
        </w:rPr>
        <w:t>ir</w:t>
      </w:r>
      <w:r w:rsidRPr="006E2AB1">
        <w:rPr>
          <w:lang w:val="is-IS"/>
        </w:rPr>
        <w:t xml:space="preserve"> upp lánið við sölu íbúðarinnar og afmarkast sú upphæð við sama hlutfall af söluverði íbúðarhúsnæðis og upphafleg lánveiting nam af kaupverði.</w:t>
      </w:r>
      <w:r w:rsidR="001E6B27">
        <w:rPr>
          <w:lang w:val="is-IS"/>
        </w:rPr>
        <w:t xml:space="preserve"> M.ö.o. mun lánið bera vexti sem nemur breytingu fasteignaverðs og stjórnvöld hafa þar af leiðandi beina hagsmuni af því að fasteignaverð muni hækka á þessum eignum</w:t>
      </w:r>
      <w:r w:rsidR="008D60FD">
        <w:rPr>
          <w:lang w:val="is-IS"/>
        </w:rPr>
        <w:t xml:space="preserve"> á sama tíma.</w:t>
      </w:r>
    </w:p>
    <w:p w14:paraId="0A07EFC2" w14:textId="77777777" w:rsidR="006E2AB1" w:rsidRDefault="006E2AB1" w:rsidP="006E2AB1">
      <w:pPr>
        <w:jc w:val="both"/>
        <w:rPr>
          <w:lang w:val="is-IS"/>
        </w:rPr>
      </w:pPr>
    </w:p>
    <w:p w14:paraId="7730DF1A" w14:textId="771934AB" w:rsidR="00974252" w:rsidRPr="00F51570" w:rsidRDefault="009C0C7A" w:rsidP="00F51570">
      <w:pPr>
        <w:pStyle w:val="ListParagraph"/>
        <w:numPr>
          <w:ilvl w:val="0"/>
          <w:numId w:val="14"/>
        </w:numPr>
        <w:jc w:val="both"/>
        <w:rPr>
          <w:b/>
          <w:bCs/>
          <w:lang w:val="is-IS"/>
        </w:rPr>
      </w:pPr>
      <w:r>
        <w:rPr>
          <w:b/>
          <w:bCs/>
          <w:lang w:val="is-IS"/>
        </w:rPr>
        <w:t xml:space="preserve">Reynsla </w:t>
      </w:r>
      <w:r w:rsidR="009D34DD">
        <w:rPr>
          <w:b/>
          <w:bCs/>
          <w:lang w:val="is-IS"/>
        </w:rPr>
        <w:t>annarra ríkja</w:t>
      </w:r>
      <w:r w:rsidR="009C3690">
        <w:rPr>
          <w:b/>
          <w:bCs/>
          <w:lang w:val="is-IS"/>
        </w:rPr>
        <w:t xml:space="preserve"> ekki góð</w:t>
      </w:r>
    </w:p>
    <w:p w14:paraId="0F626C5D" w14:textId="14E15E7E" w:rsidR="009C2F77" w:rsidRDefault="008A566B" w:rsidP="00043BA8">
      <w:pPr>
        <w:jc w:val="both"/>
        <w:rPr>
          <w:lang w:val="is-IS"/>
        </w:rPr>
      </w:pPr>
      <w:r>
        <w:rPr>
          <w:lang w:val="is-IS"/>
        </w:rPr>
        <w:t xml:space="preserve">Í greinargerð frumvarpsins kemur fram </w:t>
      </w:r>
      <w:r w:rsidR="00A148E4">
        <w:rPr>
          <w:lang w:val="is-IS"/>
        </w:rPr>
        <w:t>að</w:t>
      </w:r>
      <w:r>
        <w:rPr>
          <w:lang w:val="is-IS"/>
        </w:rPr>
        <w:t xml:space="preserve"> sambærilegum úrræðum verið komið á í Englandi, Skotlandi og Wales.</w:t>
      </w:r>
      <w:r w:rsidR="009C2F77">
        <w:rPr>
          <w:lang w:val="is-IS"/>
        </w:rPr>
        <w:t xml:space="preserve"> Breska þingið samþykkti Help to Buy (H2B eða HtB) árið</w:t>
      </w:r>
      <w:r w:rsidR="00A479B6">
        <w:rPr>
          <w:lang w:val="is-IS"/>
        </w:rPr>
        <w:t xml:space="preserve"> </w:t>
      </w:r>
      <w:r w:rsidR="00693DF3">
        <w:rPr>
          <w:lang w:val="is-IS"/>
        </w:rPr>
        <w:t>2013</w:t>
      </w:r>
      <w:r w:rsidR="00537E92">
        <w:rPr>
          <w:lang w:val="is-IS"/>
        </w:rPr>
        <w:t>. Þegar frumvarp</w:t>
      </w:r>
      <w:r w:rsidR="00A148E4">
        <w:rPr>
          <w:lang w:val="is-IS"/>
        </w:rPr>
        <w:t>ið</w:t>
      </w:r>
      <w:r w:rsidR="00537E92">
        <w:rPr>
          <w:lang w:val="is-IS"/>
        </w:rPr>
        <w:t xml:space="preserve"> var lagt fram í breska þinginu þótti það mjög umdeilt og var mjög gagnrýnt af </w:t>
      </w:r>
      <w:r w:rsidR="00A148E4">
        <w:rPr>
          <w:lang w:val="is-IS"/>
        </w:rPr>
        <w:t>aðilum vinnumarkaðarins</w:t>
      </w:r>
      <w:r w:rsidR="00537E92">
        <w:rPr>
          <w:lang w:val="is-IS"/>
        </w:rPr>
        <w:t xml:space="preserve"> og fræðimönnum.</w:t>
      </w:r>
    </w:p>
    <w:p w14:paraId="659474AA" w14:textId="3E651819" w:rsidR="0071618A" w:rsidRDefault="0071618A" w:rsidP="00537E92">
      <w:pPr>
        <w:pStyle w:val="ListParagraph"/>
        <w:numPr>
          <w:ilvl w:val="0"/>
          <w:numId w:val="15"/>
        </w:numPr>
        <w:jc w:val="both"/>
        <w:rPr>
          <w:lang w:val="is-IS"/>
        </w:rPr>
      </w:pPr>
      <w:r>
        <w:rPr>
          <w:lang w:val="is-IS"/>
        </w:rPr>
        <w:t xml:space="preserve">Fjöldi hagfræðiprófessora og hagfræðingar hjá hagsmunasamtökum voru </w:t>
      </w:r>
      <w:hyperlink r:id="rId13" w:history="1">
        <w:r w:rsidRPr="0071618A">
          <w:rPr>
            <w:rStyle w:val="Hyperlink"/>
            <w:lang w:val="is-IS"/>
          </w:rPr>
          <w:t>samm</w:t>
        </w:r>
        <w:r w:rsidR="00A148E4">
          <w:rPr>
            <w:rStyle w:val="Hyperlink"/>
            <w:lang w:val="is-IS"/>
          </w:rPr>
          <w:t>ál</w:t>
        </w:r>
        <w:r w:rsidRPr="0071618A">
          <w:rPr>
            <w:rStyle w:val="Hyperlink"/>
            <w:lang w:val="is-IS"/>
          </w:rPr>
          <w:t>a</w:t>
        </w:r>
      </w:hyperlink>
      <w:r>
        <w:rPr>
          <w:lang w:val="is-IS"/>
        </w:rPr>
        <w:t xml:space="preserve"> um að úrræðið gæti unnið gegn markmiðum sínum.</w:t>
      </w:r>
    </w:p>
    <w:p w14:paraId="5DCCC8A0" w14:textId="475A401E" w:rsidR="00537E92" w:rsidRDefault="00FC7975" w:rsidP="00537E92">
      <w:pPr>
        <w:pStyle w:val="ListParagraph"/>
        <w:numPr>
          <w:ilvl w:val="0"/>
          <w:numId w:val="15"/>
        </w:numPr>
        <w:jc w:val="both"/>
        <w:rPr>
          <w:lang w:val="is-IS"/>
        </w:rPr>
      </w:pPr>
      <w:hyperlink r:id="rId14" w:history="1">
        <w:r w:rsidR="00537E92" w:rsidRPr="00537E92">
          <w:rPr>
            <w:rStyle w:val="Hyperlink"/>
            <w:lang w:val="is-IS"/>
          </w:rPr>
          <w:t>Alþjóðagjaldeyrissjóðurinn</w:t>
        </w:r>
      </w:hyperlink>
      <w:r w:rsidR="00537E92">
        <w:rPr>
          <w:lang w:val="is-IS"/>
        </w:rPr>
        <w:t xml:space="preserve"> varaði við hættunni á að úrræðið gæti unnið gegn markmiði sínu og hækkað fasteignaverð.</w:t>
      </w:r>
    </w:p>
    <w:p w14:paraId="2F8231F2" w14:textId="1268C21D" w:rsidR="00537E92" w:rsidRPr="00537E92" w:rsidRDefault="00FC7975" w:rsidP="00537E92">
      <w:pPr>
        <w:pStyle w:val="ListParagraph"/>
        <w:numPr>
          <w:ilvl w:val="0"/>
          <w:numId w:val="15"/>
        </w:numPr>
        <w:jc w:val="both"/>
        <w:rPr>
          <w:lang w:val="is-IS"/>
        </w:rPr>
      </w:pPr>
      <w:hyperlink r:id="rId15" w:history="1">
        <w:r w:rsidR="0071618A" w:rsidRPr="0071618A">
          <w:rPr>
            <w:rStyle w:val="Hyperlink"/>
            <w:lang w:val="is-IS"/>
          </w:rPr>
          <w:t>Skrifstofa ábyrgra ríkisfjármála</w:t>
        </w:r>
      </w:hyperlink>
      <w:r w:rsidR="0071618A">
        <w:rPr>
          <w:lang w:val="is-IS"/>
        </w:rPr>
        <w:t xml:space="preserve"> (</w:t>
      </w:r>
      <w:r w:rsidR="00A148E4">
        <w:rPr>
          <w:lang w:val="is-IS"/>
        </w:rPr>
        <w:t xml:space="preserve">e. </w:t>
      </w:r>
      <w:r w:rsidR="0071618A" w:rsidRPr="00A148E4">
        <w:rPr>
          <w:i/>
          <w:iCs/>
          <w:lang w:val="is-IS"/>
        </w:rPr>
        <w:t>Office of Budget Responsibility</w:t>
      </w:r>
      <w:r w:rsidR="0071618A">
        <w:rPr>
          <w:lang w:val="is-IS"/>
        </w:rPr>
        <w:t>) varaði við því að úrræðið myndi líklega hækka fasteignaverð.</w:t>
      </w:r>
    </w:p>
    <w:p w14:paraId="6C567743" w14:textId="4ADCD4ED" w:rsidR="0071618A" w:rsidRDefault="00425526" w:rsidP="00043BA8">
      <w:pPr>
        <w:jc w:val="both"/>
        <w:rPr>
          <w:lang w:val="is-IS"/>
        </w:rPr>
      </w:pPr>
      <w:r>
        <w:rPr>
          <w:lang w:val="is-IS"/>
        </w:rPr>
        <w:t xml:space="preserve">Hafa ber í huga að einn grundvallarmunur var á Help to Buy </w:t>
      </w:r>
      <w:r w:rsidR="00A479B6">
        <w:rPr>
          <w:lang w:val="is-IS"/>
        </w:rPr>
        <w:t>og</w:t>
      </w:r>
      <w:r>
        <w:rPr>
          <w:lang w:val="is-IS"/>
        </w:rPr>
        <w:t xml:space="preserve"> hlutdeildarlán</w:t>
      </w:r>
      <w:r w:rsidR="00A479B6">
        <w:rPr>
          <w:lang w:val="is-IS"/>
        </w:rPr>
        <w:t>um</w:t>
      </w:r>
      <w:r>
        <w:rPr>
          <w:lang w:val="is-IS"/>
        </w:rPr>
        <w:t xml:space="preserve">. Það var ríkisábyrgð á hluta fyrsta veðláns en sú ríkisábyrgð var afnumin árið 2017. </w:t>
      </w:r>
    </w:p>
    <w:p w14:paraId="70DCD548" w14:textId="77777777" w:rsidR="00425526" w:rsidRDefault="00425526" w:rsidP="00043BA8">
      <w:pPr>
        <w:jc w:val="both"/>
        <w:rPr>
          <w:lang w:val="is-IS"/>
        </w:rPr>
      </w:pPr>
    </w:p>
    <w:p w14:paraId="36C27ACF" w14:textId="24F2CBCF" w:rsidR="00826293" w:rsidRDefault="0071618A" w:rsidP="00043BA8">
      <w:pPr>
        <w:jc w:val="both"/>
        <w:rPr>
          <w:lang w:val="is-IS"/>
        </w:rPr>
      </w:pPr>
      <w:r>
        <w:rPr>
          <w:lang w:val="is-IS"/>
        </w:rPr>
        <w:t xml:space="preserve">Nú þegar </w:t>
      </w:r>
      <w:r w:rsidR="00A479B6">
        <w:rPr>
          <w:lang w:val="is-IS"/>
        </w:rPr>
        <w:t>sjö</w:t>
      </w:r>
      <w:r>
        <w:rPr>
          <w:lang w:val="is-IS"/>
        </w:rPr>
        <w:t xml:space="preserve"> ár eru liðin frá gildistöku Help to Buy er komin ágæt reynsla á kerfið.</w:t>
      </w:r>
      <w:r w:rsidR="000A72F6">
        <w:rPr>
          <w:lang w:val="is-IS"/>
        </w:rPr>
        <w:t xml:space="preserve"> Þrátt fyrr að Help to Buy hafi </w:t>
      </w:r>
      <w:r w:rsidR="00A148E4">
        <w:rPr>
          <w:lang w:val="is-IS"/>
        </w:rPr>
        <w:t>náð einu</w:t>
      </w:r>
      <w:r w:rsidR="000A72F6">
        <w:rPr>
          <w:lang w:val="is-IS"/>
        </w:rPr>
        <w:t xml:space="preserve"> markmiði sínu</w:t>
      </w:r>
      <w:r w:rsidR="00A148E4">
        <w:rPr>
          <w:lang w:val="is-IS"/>
        </w:rPr>
        <w:t>,</w:t>
      </w:r>
      <w:r w:rsidR="000A72F6">
        <w:rPr>
          <w:lang w:val="is-IS"/>
        </w:rPr>
        <w:t xml:space="preserve"> sem var að fjölga íbúðum og koma byggingariðnaðinum aftur á skrið eftir efnahagskreppuna 2008, þá eru stjórnvöld þessara landa sammála um að úrræðið sé of almennt og standi til boða fyrir of marga sem þurfa ekki á því að halda.</w:t>
      </w:r>
    </w:p>
    <w:p w14:paraId="6F4F1807" w14:textId="77777777" w:rsidR="00EA6770" w:rsidRDefault="00EA6770" w:rsidP="00043BA8">
      <w:pPr>
        <w:jc w:val="both"/>
        <w:rPr>
          <w:lang w:val="is-IS"/>
        </w:rPr>
      </w:pPr>
    </w:p>
    <w:p w14:paraId="1B03DAC0" w14:textId="1E71FD37" w:rsidR="00AF5730" w:rsidRPr="00A859B4" w:rsidRDefault="00A148E4" w:rsidP="00AF5730">
      <w:pPr>
        <w:jc w:val="both"/>
        <w:rPr>
          <w:i/>
          <w:iCs/>
          <w:lang w:val="is-IS"/>
        </w:rPr>
      </w:pPr>
      <w:r>
        <w:rPr>
          <w:i/>
          <w:iCs/>
          <w:lang w:val="is-IS"/>
        </w:rPr>
        <w:t>Eng</w:t>
      </w:r>
      <w:r w:rsidR="00AF5730" w:rsidRPr="00A859B4">
        <w:rPr>
          <w:i/>
          <w:iCs/>
          <w:lang w:val="is-IS"/>
        </w:rPr>
        <w:t>land</w:t>
      </w:r>
    </w:p>
    <w:p w14:paraId="470D15C9" w14:textId="346542C2" w:rsidR="004F1D5F" w:rsidRDefault="00826293" w:rsidP="00AF5730">
      <w:pPr>
        <w:jc w:val="both"/>
        <w:rPr>
          <w:lang w:val="is-IS"/>
        </w:rPr>
      </w:pPr>
      <w:r w:rsidRPr="00AF5730">
        <w:rPr>
          <w:lang w:val="is-IS"/>
        </w:rPr>
        <w:t>Í september á</w:t>
      </w:r>
      <w:r w:rsidR="00EA6770">
        <w:rPr>
          <w:lang w:val="is-IS"/>
        </w:rPr>
        <w:t xml:space="preserve">rið 2019 </w:t>
      </w:r>
      <w:r w:rsidRPr="00AF5730">
        <w:rPr>
          <w:lang w:val="is-IS"/>
        </w:rPr>
        <w:t xml:space="preserve">birti neðri deild breska þingsins </w:t>
      </w:r>
      <w:hyperlink r:id="rId16" w:history="1">
        <w:r w:rsidR="00AF5730" w:rsidRPr="00AF5730">
          <w:rPr>
            <w:rStyle w:val="Hyperlink"/>
            <w:lang w:val="is-IS"/>
          </w:rPr>
          <w:t>skýrslu</w:t>
        </w:r>
      </w:hyperlink>
      <w:r w:rsidR="00AF5730" w:rsidRPr="00AF5730">
        <w:rPr>
          <w:lang w:val="is-IS"/>
        </w:rPr>
        <w:t xml:space="preserve"> </w:t>
      </w:r>
      <w:r w:rsidR="00A148E4">
        <w:rPr>
          <w:lang w:val="is-IS"/>
        </w:rPr>
        <w:t xml:space="preserve">um </w:t>
      </w:r>
      <w:r w:rsidR="00AF5730" w:rsidRPr="00AF5730">
        <w:rPr>
          <w:lang w:val="is-IS"/>
        </w:rPr>
        <w:t>hlutdeildarlánin sín (</w:t>
      </w:r>
      <w:r w:rsidR="00A148E4">
        <w:rPr>
          <w:lang w:val="is-IS"/>
        </w:rPr>
        <w:t xml:space="preserve">e. </w:t>
      </w:r>
      <w:r w:rsidR="00AF5730" w:rsidRPr="00A148E4">
        <w:rPr>
          <w:i/>
          <w:iCs/>
          <w:lang w:val="is-IS"/>
        </w:rPr>
        <w:t>Equity loan scheme</w:t>
      </w:r>
      <w:r w:rsidR="00AF5730" w:rsidRPr="00AF5730">
        <w:rPr>
          <w:lang w:val="is-IS"/>
        </w:rPr>
        <w:t xml:space="preserve">). Niðurstaða skýrslunnar var að þrátt fyrir </w:t>
      </w:r>
      <w:r w:rsidR="00A479B6">
        <w:rPr>
          <w:lang w:val="is-IS"/>
        </w:rPr>
        <w:t xml:space="preserve">að </w:t>
      </w:r>
      <w:r w:rsidR="00AF5730" w:rsidRPr="00AF5730">
        <w:rPr>
          <w:lang w:val="is-IS"/>
        </w:rPr>
        <w:t>úrræðið hafi verið framlengt og að útgjöld sem fóru í það séu áttfalt hærri en upphaflega stóð til er ávinningur framlengingar úrræðisins óljós.</w:t>
      </w:r>
      <w:r w:rsidR="00EA6770">
        <w:rPr>
          <w:lang w:val="is-IS"/>
        </w:rPr>
        <w:t xml:space="preserve"> </w:t>
      </w:r>
      <w:r w:rsidR="00AF5730" w:rsidRPr="00AF5730">
        <w:rPr>
          <w:lang w:val="is-IS"/>
        </w:rPr>
        <w:t xml:space="preserve">Markmið </w:t>
      </w:r>
      <w:r w:rsidR="00AF5730">
        <w:rPr>
          <w:lang w:val="is-IS"/>
        </w:rPr>
        <w:t>úrræðisins</w:t>
      </w:r>
      <w:r w:rsidR="00431875">
        <w:rPr>
          <w:lang w:val="is-IS"/>
        </w:rPr>
        <w:t xml:space="preserve"> um</w:t>
      </w:r>
      <w:r w:rsidR="00AF5730">
        <w:rPr>
          <w:lang w:val="is-IS"/>
        </w:rPr>
        <w:t xml:space="preserve"> að auka framboð af nýju íbúðarhúsnæði og efla byggingargeirann gekk eftir</w:t>
      </w:r>
      <w:r w:rsidR="00431875">
        <w:rPr>
          <w:lang w:val="is-IS"/>
        </w:rPr>
        <w:t>.</w:t>
      </w:r>
      <w:r w:rsidR="00AF5730">
        <w:rPr>
          <w:lang w:val="is-IS"/>
        </w:rPr>
        <w:t xml:space="preserve"> </w:t>
      </w:r>
      <w:r w:rsidR="00431875">
        <w:rPr>
          <w:lang w:val="is-IS"/>
        </w:rPr>
        <w:t>R</w:t>
      </w:r>
      <w:r w:rsidR="00EA6770">
        <w:rPr>
          <w:lang w:val="is-IS"/>
        </w:rPr>
        <w:t xml:space="preserve">áðuneyti málaflokksins metur að </w:t>
      </w:r>
      <w:r w:rsidR="00AF5730">
        <w:rPr>
          <w:lang w:val="is-IS"/>
        </w:rPr>
        <w:t>úrræðið h</w:t>
      </w:r>
      <w:r w:rsidR="00431875">
        <w:rPr>
          <w:lang w:val="is-IS"/>
        </w:rPr>
        <w:t>a</w:t>
      </w:r>
      <w:r w:rsidR="00AF5730">
        <w:rPr>
          <w:lang w:val="is-IS"/>
        </w:rPr>
        <w:t>f</w:t>
      </w:r>
      <w:r w:rsidR="00431875">
        <w:rPr>
          <w:lang w:val="is-IS"/>
        </w:rPr>
        <w:t>i</w:t>
      </w:r>
      <w:r w:rsidR="00AF5730">
        <w:rPr>
          <w:lang w:val="is-IS"/>
        </w:rPr>
        <w:t xml:space="preserve"> fjölgað íbúðum um 14%</w:t>
      </w:r>
      <w:r w:rsidR="000A72F6">
        <w:rPr>
          <w:lang w:val="is-IS"/>
        </w:rPr>
        <w:t xml:space="preserve"> frá 2013</w:t>
      </w:r>
      <w:r w:rsidR="00EA6770">
        <w:rPr>
          <w:lang w:val="is-IS"/>
        </w:rPr>
        <w:t>. En þrátt fyrir að tekist hafi að fjölga íbúðum með hjálp þessa úrræðis töldu 63% sem nýttu sér það að þau hefðu geta keypt sér íbúð án Help to Buy.</w:t>
      </w:r>
    </w:p>
    <w:p w14:paraId="3293968A" w14:textId="77777777" w:rsidR="00EA6770" w:rsidRDefault="00EA6770" w:rsidP="00AF5730">
      <w:pPr>
        <w:jc w:val="both"/>
        <w:rPr>
          <w:lang w:val="is-IS"/>
        </w:rPr>
      </w:pPr>
    </w:p>
    <w:p w14:paraId="1FB5289B" w14:textId="07DF92A6" w:rsidR="00EA6770" w:rsidRPr="00A859B4" w:rsidRDefault="00EA6770" w:rsidP="00AF5730">
      <w:pPr>
        <w:jc w:val="both"/>
        <w:rPr>
          <w:i/>
          <w:iCs/>
          <w:lang w:val="is-IS"/>
        </w:rPr>
      </w:pPr>
      <w:r w:rsidRPr="00A859B4">
        <w:rPr>
          <w:i/>
          <w:iCs/>
          <w:lang w:val="is-IS"/>
        </w:rPr>
        <w:t>Skotland</w:t>
      </w:r>
    </w:p>
    <w:p w14:paraId="16249793" w14:textId="78B27A53" w:rsidR="00AF5730" w:rsidRDefault="00EA6770" w:rsidP="00765DD2">
      <w:pPr>
        <w:jc w:val="both"/>
        <w:rPr>
          <w:lang w:val="is-IS"/>
        </w:rPr>
      </w:pPr>
      <w:r>
        <w:rPr>
          <w:lang w:val="is-IS"/>
        </w:rPr>
        <w:t xml:space="preserve">Þann 11. júní síðastliðinn birti ríkisstjórn Skotlands </w:t>
      </w:r>
      <w:hyperlink r:id="rId17" w:history="1">
        <w:r w:rsidRPr="00EA6770">
          <w:rPr>
            <w:rStyle w:val="Hyperlink"/>
            <w:lang w:val="is-IS"/>
          </w:rPr>
          <w:t>matsskýrslu</w:t>
        </w:r>
      </w:hyperlink>
      <w:r>
        <w:rPr>
          <w:lang w:val="is-IS"/>
        </w:rPr>
        <w:t xml:space="preserve"> á þremur úrræðum</w:t>
      </w:r>
      <w:r w:rsidR="004D7397">
        <w:rPr>
          <w:lang w:val="is-IS"/>
        </w:rPr>
        <w:t>,</w:t>
      </w:r>
      <w:r>
        <w:rPr>
          <w:lang w:val="is-IS"/>
        </w:rPr>
        <w:t xml:space="preserve"> </w:t>
      </w:r>
      <w:r w:rsidR="00414365">
        <w:rPr>
          <w:lang w:val="is-IS"/>
        </w:rPr>
        <w:t>Help to Buy (HtB) og tveimur öðrum</w:t>
      </w:r>
      <w:r>
        <w:rPr>
          <w:lang w:val="is-IS"/>
        </w:rPr>
        <w:t xml:space="preserve">. </w:t>
      </w:r>
      <w:r w:rsidR="00414365">
        <w:rPr>
          <w:lang w:val="is-IS"/>
        </w:rPr>
        <w:t>Þar gekk markmið</w:t>
      </w:r>
      <w:r w:rsidR="000A72F6">
        <w:rPr>
          <w:lang w:val="is-IS"/>
        </w:rPr>
        <w:t xml:space="preserve"> </w:t>
      </w:r>
      <w:r w:rsidR="00414365">
        <w:rPr>
          <w:lang w:val="is-IS"/>
        </w:rPr>
        <w:t xml:space="preserve">HtB </w:t>
      </w:r>
      <w:r w:rsidR="000A72F6">
        <w:rPr>
          <w:lang w:val="is-IS"/>
        </w:rPr>
        <w:t>um að fjölga ódýrum íbúðum eftir og verð á HtB íbúðum hefur verið lægra en meðalverð íbúða í Skotlandi. En HtB íbúðir voru samt sem áður 20% dýrari en meðalverð íbúða fyrstu kaupenda.</w:t>
      </w:r>
      <w:r w:rsidR="00414365">
        <w:rPr>
          <w:lang w:val="is-IS"/>
        </w:rPr>
        <w:t xml:space="preserve"> Þá töldu 56% þeirra sem keyptu íbúð með hjálp HtB </w:t>
      </w:r>
      <w:r w:rsidR="00191DCE">
        <w:rPr>
          <w:lang w:val="is-IS"/>
        </w:rPr>
        <w:t>að þeir hefðu</w:t>
      </w:r>
      <w:r w:rsidR="002E00C1">
        <w:rPr>
          <w:lang w:val="is-IS"/>
        </w:rPr>
        <w:t xml:space="preserve"> </w:t>
      </w:r>
      <w:r w:rsidR="00414365">
        <w:rPr>
          <w:lang w:val="is-IS"/>
        </w:rPr>
        <w:t>getað keypt íbúð án úrræðisins.</w:t>
      </w:r>
    </w:p>
    <w:p w14:paraId="50B13BEF" w14:textId="3A55334A" w:rsidR="00414365" w:rsidRDefault="00414365" w:rsidP="00765DD2">
      <w:pPr>
        <w:jc w:val="both"/>
        <w:rPr>
          <w:lang w:val="is-IS"/>
        </w:rPr>
      </w:pPr>
    </w:p>
    <w:p w14:paraId="719D7433" w14:textId="331DC0B2" w:rsidR="00414365" w:rsidRDefault="0036618D" w:rsidP="00765DD2">
      <w:pPr>
        <w:jc w:val="both"/>
        <w:rPr>
          <w:lang w:val="is-IS"/>
        </w:rPr>
      </w:pPr>
      <w:r>
        <w:rPr>
          <w:lang w:val="is-IS"/>
        </w:rPr>
        <w:t>Þá gaf Miðstöð efnahagslegs árangur</w:t>
      </w:r>
      <w:r w:rsidR="00431875">
        <w:rPr>
          <w:lang w:val="is-IS"/>
        </w:rPr>
        <w:t>s</w:t>
      </w:r>
      <w:r>
        <w:rPr>
          <w:lang w:val="is-IS"/>
        </w:rPr>
        <w:t xml:space="preserve"> (</w:t>
      </w:r>
      <w:r w:rsidR="00431875">
        <w:rPr>
          <w:lang w:val="is-IS"/>
        </w:rPr>
        <w:t xml:space="preserve">e. </w:t>
      </w:r>
      <w:r w:rsidRPr="00431875">
        <w:rPr>
          <w:i/>
          <w:iCs/>
          <w:lang w:val="is-IS"/>
        </w:rPr>
        <w:t>Centre for Economic Performance</w:t>
      </w:r>
      <w:r>
        <w:rPr>
          <w:lang w:val="is-IS"/>
        </w:rPr>
        <w:t xml:space="preserve">) hjá London School of Economics and Political Science út </w:t>
      </w:r>
      <w:r w:rsidR="00FC7975">
        <w:fldChar w:fldCharType="begin"/>
      </w:r>
      <w:r w:rsidR="00FC7975">
        <w:instrText xml:space="preserve"> HYPERLINK "http://cep.lse.ac.uk/pubs/download/dp1681.pdf" </w:instrText>
      </w:r>
      <w:r w:rsidR="00FC7975">
        <w:fldChar w:fldCharType="separate"/>
      </w:r>
      <w:r w:rsidRPr="004A4B7B">
        <w:rPr>
          <w:rStyle w:val="Hyperlink"/>
          <w:lang w:val="is-IS"/>
        </w:rPr>
        <w:t>skýrslu</w:t>
      </w:r>
      <w:r w:rsidR="00FC7975">
        <w:rPr>
          <w:rStyle w:val="Hyperlink"/>
          <w:lang w:val="is-IS"/>
        </w:rPr>
        <w:fldChar w:fldCharType="end"/>
      </w:r>
      <w:r>
        <w:rPr>
          <w:lang w:val="is-IS"/>
        </w:rPr>
        <w:t xml:space="preserve"> í </w:t>
      </w:r>
      <w:r w:rsidR="00F06820">
        <w:rPr>
          <w:lang w:val="is-IS"/>
        </w:rPr>
        <w:t xml:space="preserve">mars á þessu ári um mat á efnahagslegum áhrifum Help to Buy. </w:t>
      </w:r>
      <w:r w:rsidR="004A4B7B">
        <w:rPr>
          <w:lang w:val="is-IS"/>
        </w:rPr>
        <w:t>Niðurstaða þeirrar rannsóknar var eftirfarandi:</w:t>
      </w:r>
    </w:p>
    <w:p w14:paraId="347EBAC7" w14:textId="38D3FDDC" w:rsidR="00AC66F3" w:rsidRPr="00AC66F3" w:rsidRDefault="00AC66F3" w:rsidP="00AC66F3">
      <w:pPr>
        <w:ind w:left="567" w:right="567"/>
        <w:jc w:val="both"/>
        <w:rPr>
          <w:i/>
          <w:iCs/>
        </w:rPr>
      </w:pPr>
      <w:r w:rsidRPr="00AC66F3">
        <w:rPr>
          <w:i/>
          <w:iCs/>
        </w:rPr>
        <w:t xml:space="preserve">We find that </w:t>
      </w:r>
      <w:proofErr w:type="spellStart"/>
      <w:r w:rsidRPr="00AC66F3">
        <w:rPr>
          <w:i/>
          <w:iCs/>
        </w:rPr>
        <w:t>HtB</w:t>
      </w:r>
      <w:proofErr w:type="spellEnd"/>
      <w:r w:rsidRPr="00AC66F3">
        <w:rPr>
          <w:i/>
          <w:iCs/>
        </w:rPr>
        <w:t xml:space="preserve"> increased house prices by more than the expected present value of the implied interest rate subsidy and had no discernible effect on construction volumes in the Greater London Authority (GLA), where housing supply is subject to severe long-run constraints and housing is already extremely unaffordable. </w:t>
      </w:r>
      <w:proofErr w:type="spellStart"/>
      <w:r w:rsidRPr="00AC66F3">
        <w:rPr>
          <w:i/>
          <w:iCs/>
        </w:rPr>
        <w:t>HtB</w:t>
      </w:r>
      <w:proofErr w:type="spellEnd"/>
      <w:r w:rsidRPr="00AC66F3">
        <w:rPr>
          <w:i/>
          <w:iCs/>
        </w:rPr>
        <w:t xml:space="preserve"> did increase construction numbers without affecting prices near the English/Welsh border, an area with less binding supply constraints and comparably affordable housing. </w:t>
      </w:r>
      <w:proofErr w:type="spellStart"/>
      <w:r w:rsidRPr="00AC66F3">
        <w:rPr>
          <w:i/>
          <w:iCs/>
        </w:rPr>
        <w:t>HtB</w:t>
      </w:r>
      <w:proofErr w:type="spellEnd"/>
      <w:r w:rsidRPr="00AC66F3">
        <w:rPr>
          <w:i/>
          <w:iCs/>
        </w:rPr>
        <w:t xml:space="preserve"> also led to bunching of newly built units below the price threshold, building of smaller new units and an improvement in the financial performance of developers. We conclude that credit expansion policies such as </w:t>
      </w:r>
      <w:proofErr w:type="spellStart"/>
      <w:r w:rsidRPr="00AC66F3">
        <w:rPr>
          <w:i/>
          <w:iCs/>
        </w:rPr>
        <w:t>HtB</w:t>
      </w:r>
      <w:proofErr w:type="spellEnd"/>
      <w:r w:rsidRPr="00AC66F3">
        <w:rPr>
          <w:i/>
          <w:iCs/>
        </w:rPr>
        <w:t xml:space="preserve"> may be ineffective in tightly supply constrained and already</w:t>
      </w:r>
    </w:p>
    <w:p w14:paraId="486B3A82" w14:textId="37BEC0C2" w:rsidR="00414365" w:rsidRPr="00FB39EC" w:rsidRDefault="00AC66F3" w:rsidP="00FB39EC">
      <w:pPr>
        <w:ind w:left="567" w:right="567"/>
        <w:jc w:val="both"/>
        <w:rPr>
          <w:i/>
          <w:iCs/>
          <w:lang w:val="is-IS"/>
        </w:rPr>
      </w:pPr>
      <w:r w:rsidRPr="00AC66F3">
        <w:rPr>
          <w:i/>
          <w:iCs/>
        </w:rPr>
        <w:t>unaffordable areas.</w:t>
      </w:r>
    </w:p>
    <w:p w14:paraId="12177AD4" w14:textId="5A48941D" w:rsidR="00974252" w:rsidRDefault="00964276" w:rsidP="00043BA8">
      <w:pPr>
        <w:jc w:val="both"/>
        <w:rPr>
          <w:lang w:val="is-IS"/>
        </w:rPr>
      </w:pPr>
      <w:r>
        <w:rPr>
          <w:lang w:val="is-IS"/>
        </w:rPr>
        <w:t>Það að</w:t>
      </w:r>
      <w:r w:rsidR="00693DF3" w:rsidRPr="00693DF3">
        <w:rPr>
          <w:lang w:val="is-IS"/>
        </w:rPr>
        <w:t xml:space="preserve"> auðvelda ungu fólki skuldsetningu til kaupa á fasteign á svæðum þar sem framboð er mjög takmarkað mun koma til með að hækka fasteignaverð þar enn frekar nema tekið sé á framboðsvandanum samhliða. Slíkt úrræði gæti því aukið á verðsveiflur á íbúðamarkaði, en á sama tíma er verið að takmarka ávinning fólks í þröngri fjárhagslegri stöðu af íbúðaverðshækkunum þar sem vextirnir eru tengdir við eignaverð.</w:t>
      </w:r>
    </w:p>
    <w:p w14:paraId="699CAE5A" w14:textId="66BC6FF9" w:rsidR="00596426" w:rsidRDefault="00596426">
      <w:pPr>
        <w:rPr>
          <w:lang w:val="is-IS"/>
        </w:rPr>
      </w:pPr>
    </w:p>
    <w:p w14:paraId="52A1ECE7" w14:textId="5C113C6C" w:rsidR="00CB1024" w:rsidRPr="00F51570" w:rsidRDefault="00CB1024" w:rsidP="00CB1024">
      <w:pPr>
        <w:pStyle w:val="ListParagraph"/>
        <w:numPr>
          <w:ilvl w:val="0"/>
          <w:numId w:val="14"/>
        </w:numPr>
        <w:jc w:val="both"/>
        <w:rPr>
          <w:b/>
          <w:lang w:val="is-IS"/>
        </w:rPr>
      </w:pPr>
      <w:r>
        <w:rPr>
          <w:b/>
          <w:lang w:val="is-IS"/>
        </w:rPr>
        <w:t>Skilyrði lánanna vinna gegn markmiðum frumvarpsins</w:t>
      </w:r>
      <w:r w:rsidR="0089321B">
        <w:rPr>
          <w:b/>
          <w:lang w:val="is-IS"/>
        </w:rPr>
        <w:t xml:space="preserve"> og leiða til þess að stuðningurinn rennur að stórum hluta til þeirra sem þurfa ekki á honum að halda.</w:t>
      </w:r>
    </w:p>
    <w:p w14:paraId="290A4BF6" w14:textId="77777777" w:rsidR="00CB1024" w:rsidRPr="006E2AB1" w:rsidRDefault="00CB1024" w:rsidP="00CB1024">
      <w:pPr>
        <w:rPr>
          <w:rFonts w:eastAsia="Times New Roman" w:cs="Calibri"/>
          <w:lang w:val="is-IS" w:eastAsia="is-IS"/>
        </w:rPr>
      </w:pPr>
      <w:r w:rsidRPr="006E2AB1">
        <w:rPr>
          <w:rFonts w:eastAsia="Times New Roman" w:cs="Calibri"/>
          <w:lang w:val="is-IS" w:eastAsia="is-IS"/>
        </w:rPr>
        <w:t xml:space="preserve">Til þess að geta fengið hlutdeildarlán þarf umsækjandi að uppfylla ákveðin skilyrði sem fram koma í frumvarpinu ásamt skilyrðum sem ráðherra á að setja með reglugerð.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Caption w:val=""/>
        <w:tblDescription w:val=""/>
      </w:tblPr>
      <w:tblGrid>
        <w:gridCol w:w="2582"/>
        <w:gridCol w:w="5724"/>
      </w:tblGrid>
      <w:tr w:rsidR="00CB1024" w:rsidRPr="006E2AB1" w14:paraId="05FEFFE3" w14:textId="77777777" w:rsidTr="00285926">
        <w:trPr>
          <w:trHeight w:val="283"/>
        </w:trPr>
        <w:tc>
          <w:tcPr>
            <w:tcW w:w="2582" w:type="dxa"/>
            <w:tcBorders>
              <w:bottom w:val="single" w:sz="4" w:space="0" w:color="000000"/>
            </w:tcBorders>
            <w:vAlign w:val="bottom"/>
            <w:hideMark/>
          </w:tcPr>
          <w:p w14:paraId="0B10E161" w14:textId="77777777" w:rsidR="00CB1024" w:rsidRPr="006E2AB1" w:rsidRDefault="00CB1024" w:rsidP="00285926">
            <w:pPr>
              <w:rPr>
                <w:rFonts w:eastAsia="Times New Roman" w:cs="Calibri"/>
                <w:lang w:val="is-IS" w:eastAsia="is-IS"/>
              </w:rPr>
            </w:pPr>
            <w:r w:rsidRPr="006E2AB1">
              <w:rPr>
                <w:rFonts w:eastAsia="Times New Roman" w:cs="Calibri"/>
                <w:b/>
                <w:bCs/>
                <w:lang w:val="is-IS" w:eastAsia="is-IS"/>
              </w:rPr>
              <w:t>Skilyrði</w:t>
            </w:r>
          </w:p>
        </w:tc>
        <w:tc>
          <w:tcPr>
            <w:tcW w:w="5724" w:type="dxa"/>
            <w:tcBorders>
              <w:bottom w:val="single" w:sz="4" w:space="0" w:color="000000"/>
            </w:tcBorders>
            <w:vAlign w:val="bottom"/>
            <w:hideMark/>
          </w:tcPr>
          <w:p w14:paraId="21A304E1" w14:textId="77777777" w:rsidR="00CB1024" w:rsidRPr="006E2AB1" w:rsidRDefault="00CB1024" w:rsidP="00285926">
            <w:pPr>
              <w:rPr>
                <w:rFonts w:eastAsia="Times New Roman" w:cs="Calibri"/>
                <w:lang w:val="is-IS" w:eastAsia="is-IS"/>
              </w:rPr>
            </w:pPr>
            <w:r w:rsidRPr="006E2AB1">
              <w:rPr>
                <w:rFonts w:eastAsia="Times New Roman" w:cs="Calibri"/>
                <w:b/>
                <w:bCs/>
                <w:lang w:val="is-IS" w:eastAsia="is-IS"/>
              </w:rPr>
              <w:t>Athugasemd</w:t>
            </w:r>
          </w:p>
        </w:tc>
      </w:tr>
      <w:tr w:rsidR="00CB1024" w:rsidRPr="0089321B" w14:paraId="3ED82815" w14:textId="77777777" w:rsidTr="00285926">
        <w:trPr>
          <w:trHeight w:val="283"/>
        </w:trPr>
        <w:tc>
          <w:tcPr>
            <w:tcW w:w="2582" w:type="dxa"/>
            <w:tcBorders>
              <w:top w:val="single" w:sz="4" w:space="0" w:color="000000"/>
              <w:bottom w:val="dashSmallGap" w:sz="4" w:space="0" w:color="000000"/>
            </w:tcBorders>
          </w:tcPr>
          <w:p w14:paraId="22AB5A45" w14:textId="77777777" w:rsidR="00CB1024" w:rsidRPr="006E2AB1" w:rsidRDefault="00CB1024" w:rsidP="00285926">
            <w:pPr>
              <w:rPr>
                <w:rFonts w:eastAsia="Times New Roman" w:cs="Calibri"/>
                <w:i/>
                <w:iCs/>
                <w:lang w:val="is-IS" w:eastAsia="is-IS"/>
              </w:rPr>
            </w:pPr>
            <w:r>
              <w:rPr>
                <w:rFonts w:eastAsia="Times New Roman" w:cs="Calibri"/>
                <w:i/>
                <w:iCs/>
                <w:lang w:val="is-IS" w:eastAsia="is-IS"/>
              </w:rPr>
              <w:t>Á aðeins við um nýbyggðar hagkvæmar íbúðir</w:t>
            </w:r>
          </w:p>
        </w:tc>
        <w:tc>
          <w:tcPr>
            <w:tcW w:w="5724" w:type="dxa"/>
            <w:tcBorders>
              <w:top w:val="single" w:sz="4" w:space="0" w:color="000000"/>
              <w:bottom w:val="dashSmallGap" w:sz="4" w:space="0" w:color="000000"/>
            </w:tcBorders>
          </w:tcPr>
          <w:p w14:paraId="22B2C263" w14:textId="63BE7140" w:rsidR="00CB1024" w:rsidRPr="006E2AB1" w:rsidRDefault="00CB1024" w:rsidP="00285926">
            <w:pPr>
              <w:rPr>
                <w:rFonts w:eastAsia="Times New Roman" w:cs="Calibri"/>
                <w:lang w:val="is-IS" w:eastAsia="is-IS"/>
              </w:rPr>
            </w:pPr>
            <w:r>
              <w:rPr>
                <w:rFonts w:eastAsia="Times New Roman" w:cs="Calibri"/>
                <w:lang w:val="is-IS" w:eastAsia="is-IS"/>
              </w:rPr>
              <w:t>Með því að afmarka hlutdeildarlánin við nýbyggðar íbúðir, sem nú þegar eru að seljast á hærra verði en eldri íbúðir, eru líkur á því að það skapist sérstakur markaður fyrir hlu</w:t>
            </w:r>
            <w:r w:rsidR="00E1321E">
              <w:rPr>
                <w:rFonts w:eastAsia="Times New Roman" w:cs="Calibri"/>
                <w:lang w:val="is-IS" w:eastAsia="is-IS"/>
              </w:rPr>
              <w:t>t</w:t>
            </w:r>
            <w:r>
              <w:rPr>
                <w:rFonts w:eastAsia="Times New Roman" w:cs="Calibri"/>
                <w:lang w:val="is-IS" w:eastAsia="is-IS"/>
              </w:rPr>
              <w:t xml:space="preserve">deildarlánsíbúðir sem seldar verði á hærra verði en aðrar íbúðir fyrstu kaupanda, eins og raunin varð í Skotlandi. </w:t>
            </w:r>
          </w:p>
        </w:tc>
      </w:tr>
      <w:tr w:rsidR="00CB1024" w:rsidRPr="0089321B" w14:paraId="41FDC7F6" w14:textId="77777777" w:rsidTr="00285926">
        <w:trPr>
          <w:trHeight w:val="283"/>
        </w:trPr>
        <w:tc>
          <w:tcPr>
            <w:tcW w:w="2582" w:type="dxa"/>
            <w:tcBorders>
              <w:top w:val="dashSmallGap" w:sz="4" w:space="0" w:color="000000"/>
              <w:bottom w:val="dashSmallGap" w:sz="4" w:space="0" w:color="000000"/>
            </w:tcBorders>
            <w:hideMark/>
          </w:tcPr>
          <w:p w14:paraId="0586787C" w14:textId="77777777" w:rsidR="00CB1024" w:rsidRPr="006E2AB1" w:rsidRDefault="00CB1024" w:rsidP="00285926">
            <w:pPr>
              <w:rPr>
                <w:rFonts w:eastAsia="Times New Roman" w:cs="Calibri"/>
                <w:i/>
                <w:iCs/>
                <w:lang w:val="is-IS" w:eastAsia="is-IS"/>
              </w:rPr>
            </w:pPr>
            <w:r w:rsidRPr="006E2AB1">
              <w:rPr>
                <w:rFonts w:eastAsia="Times New Roman" w:cs="Calibri"/>
                <w:i/>
                <w:iCs/>
                <w:lang w:val="is-IS" w:eastAsia="is-IS"/>
              </w:rPr>
              <w:t>Lán sem kemur á undan hlutdeildarláni í veðröð skal að jafnaði ekki vera til lengri tíma en 25 ár.</w:t>
            </w:r>
          </w:p>
        </w:tc>
        <w:tc>
          <w:tcPr>
            <w:tcW w:w="5724" w:type="dxa"/>
            <w:tcBorders>
              <w:top w:val="dashSmallGap" w:sz="4" w:space="0" w:color="000000"/>
              <w:bottom w:val="dashSmallGap" w:sz="4" w:space="0" w:color="000000"/>
            </w:tcBorders>
            <w:hideMark/>
          </w:tcPr>
          <w:p w14:paraId="12C8F222" w14:textId="720BB1CB" w:rsidR="00CB1024" w:rsidRPr="006E2AB1" w:rsidRDefault="00CB1024" w:rsidP="00285926">
            <w:pPr>
              <w:rPr>
                <w:rFonts w:eastAsia="Times New Roman" w:cs="Calibri"/>
                <w:lang w:val="is-IS" w:eastAsia="is-IS"/>
              </w:rPr>
            </w:pPr>
            <w:r w:rsidRPr="006E2AB1">
              <w:rPr>
                <w:rFonts w:eastAsia="Times New Roman" w:cs="Calibri"/>
                <w:lang w:val="is-IS" w:eastAsia="is-IS"/>
              </w:rPr>
              <w:t>Ungt fólk og tekjulágir eru einmitt þeir hópar sem er líklegastir til að taka 40 ára lán því slíkt lán er með lægri greiðslubyrði en 25 ára lán. Til að úrræðið gagnist helst þeim sem þurfa á því að halda ætti að afnema hámarkslánstíma. Skilgreina þarf hvað á</w:t>
            </w:r>
            <w:r>
              <w:rPr>
                <w:rFonts w:eastAsia="Times New Roman" w:cs="Calibri"/>
                <w:lang w:val="is-IS" w:eastAsia="is-IS"/>
              </w:rPr>
              <w:t>tt er</w:t>
            </w:r>
            <w:r w:rsidRPr="006E2AB1">
              <w:rPr>
                <w:rFonts w:eastAsia="Times New Roman" w:cs="Calibri"/>
                <w:lang w:val="is-IS" w:eastAsia="is-IS"/>
              </w:rPr>
              <w:t xml:space="preserve"> við </w:t>
            </w:r>
            <w:r>
              <w:rPr>
                <w:rFonts w:eastAsia="Times New Roman" w:cs="Calibri"/>
                <w:lang w:val="is-IS" w:eastAsia="is-IS"/>
              </w:rPr>
              <w:t>með að lánin séu</w:t>
            </w:r>
            <w:r w:rsidRPr="006E2AB1">
              <w:rPr>
                <w:rFonts w:eastAsia="Times New Roman" w:cs="Calibri"/>
                <w:lang w:val="is-IS" w:eastAsia="is-IS"/>
              </w:rPr>
              <w:t xml:space="preserve"> </w:t>
            </w:r>
            <w:r w:rsidRPr="00431875">
              <w:rPr>
                <w:rFonts w:eastAsia="Times New Roman" w:cs="Calibri"/>
                <w:i/>
                <w:iCs/>
                <w:lang w:val="is-IS" w:eastAsia="is-IS"/>
              </w:rPr>
              <w:t>að jafnaði</w:t>
            </w:r>
            <w:r>
              <w:rPr>
                <w:rFonts w:eastAsia="Times New Roman" w:cs="Calibri"/>
                <w:lang w:val="is-IS" w:eastAsia="is-IS"/>
              </w:rPr>
              <w:t xml:space="preserve"> til </w:t>
            </w:r>
            <w:r w:rsidRPr="006E2AB1">
              <w:rPr>
                <w:rFonts w:eastAsia="Times New Roman" w:cs="Calibri"/>
                <w:lang w:val="is-IS" w:eastAsia="is-IS"/>
              </w:rPr>
              <w:t>25 ár</w:t>
            </w:r>
            <w:r w:rsidR="00200C5C">
              <w:rPr>
                <w:rFonts w:eastAsia="Times New Roman" w:cs="Calibri"/>
                <w:lang w:val="is-IS" w:eastAsia="is-IS"/>
              </w:rPr>
              <w:t>a</w:t>
            </w:r>
            <w:r w:rsidRPr="006E2AB1">
              <w:rPr>
                <w:rFonts w:eastAsia="Times New Roman" w:cs="Calibri"/>
                <w:lang w:val="is-IS" w:eastAsia="is-IS"/>
              </w:rPr>
              <w:t>.</w:t>
            </w:r>
          </w:p>
        </w:tc>
      </w:tr>
      <w:tr w:rsidR="00CB1024" w:rsidRPr="0089321B" w14:paraId="420F39CF" w14:textId="77777777" w:rsidTr="00285926">
        <w:trPr>
          <w:trHeight w:val="283"/>
        </w:trPr>
        <w:tc>
          <w:tcPr>
            <w:tcW w:w="2582" w:type="dxa"/>
            <w:tcBorders>
              <w:top w:val="dashSmallGap" w:sz="4" w:space="0" w:color="000000"/>
              <w:bottom w:val="single" w:sz="4" w:space="0" w:color="000000"/>
            </w:tcBorders>
            <w:hideMark/>
          </w:tcPr>
          <w:p w14:paraId="3FECF864" w14:textId="77777777" w:rsidR="00CB1024" w:rsidRPr="006E2AB1" w:rsidRDefault="00CB1024" w:rsidP="00285926">
            <w:pPr>
              <w:rPr>
                <w:rFonts w:eastAsia="Times New Roman" w:cs="Calibri"/>
                <w:i/>
                <w:iCs/>
                <w:lang w:val="is-IS" w:eastAsia="is-IS"/>
              </w:rPr>
            </w:pPr>
            <w:r w:rsidRPr="006E2AB1">
              <w:rPr>
                <w:rFonts w:eastAsia="Times New Roman" w:cs="Calibri"/>
                <w:i/>
                <w:iCs/>
                <w:lang w:val="is-IS" w:eastAsia="is-IS"/>
              </w:rPr>
              <w:lastRenderedPageBreak/>
              <w:t>Umsækjandi skal verja skattfrjálsri ráðstöfun séreignasparnaðar til lækkunar höfuðstóls fasteignaláns á fyrsta veðrétti.</w:t>
            </w:r>
          </w:p>
        </w:tc>
        <w:tc>
          <w:tcPr>
            <w:tcW w:w="5724" w:type="dxa"/>
            <w:tcBorders>
              <w:top w:val="dashSmallGap" w:sz="4" w:space="0" w:color="000000"/>
              <w:bottom w:val="single" w:sz="4" w:space="0" w:color="000000"/>
            </w:tcBorders>
            <w:hideMark/>
          </w:tcPr>
          <w:p w14:paraId="0101EDDF" w14:textId="1FBDD3FD" w:rsidR="00CB1024" w:rsidRPr="006E2AB1" w:rsidRDefault="00CB1024" w:rsidP="00285926">
            <w:pPr>
              <w:rPr>
                <w:rFonts w:eastAsia="Times New Roman" w:cs="Calibri"/>
                <w:lang w:val="is-IS" w:eastAsia="is-IS"/>
              </w:rPr>
            </w:pPr>
            <w:r w:rsidRPr="006E2AB1">
              <w:rPr>
                <w:rFonts w:eastAsia="Times New Roman" w:cs="Calibri"/>
                <w:lang w:val="is-IS" w:eastAsia="is-IS"/>
              </w:rPr>
              <w:t>Skynsamlegt er að ráðstafa séreignasparnaði skattfrjálst inn á höfuðstól fasteignaláns. Með því að festa það í lög er þó verið að útiloka þann möguleika að nýta séreignasparnað til greiðslu inn á afborgun</w:t>
            </w:r>
            <w:r w:rsidR="009E34CB">
              <w:rPr>
                <w:rFonts w:eastAsia="Times New Roman" w:cs="Calibri"/>
                <w:lang w:val="is-IS" w:eastAsia="is-IS"/>
              </w:rPr>
              <w:t xml:space="preserve"> óverðtryggðs láns</w:t>
            </w:r>
            <w:r w:rsidRPr="006E2AB1">
              <w:rPr>
                <w:rFonts w:eastAsia="Times New Roman" w:cs="Calibri"/>
                <w:lang w:val="is-IS" w:eastAsia="is-IS"/>
              </w:rPr>
              <w:t xml:space="preserve"> sem gæti lækkað afborgun lánsins niður fyrir 40% af ráðstöfunartekjum. </w:t>
            </w:r>
          </w:p>
        </w:tc>
      </w:tr>
    </w:tbl>
    <w:p w14:paraId="5D29A413" w14:textId="25AEAB4E" w:rsidR="00CB1024" w:rsidRDefault="00CB1024" w:rsidP="00CB1024">
      <w:pPr>
        <w:jc w:val="both"/>
        <w:rPr>
          <w:lang w:val="is-IS"/>
        </w:rPr>
      </w:pPr>
      <w:r>
        <w:rPr>
          <w:lang w:val="is-IS"/>
        </w:rPr>
        <w:t xml:space="preserve">Þessi skilyrði gera þeim, sem helst þyrftu á aðstoðinni að halda, erfiðara fyrir. Frumvarpið mun því </w:t>
      </w:r>
      <w:r w:rsidR="0055311C">
        <w:rPr>
          <w:lang w:val="is-IS"/>
        </w:rPr>
        <w:t xml:space="preserve">aðeins </w:t>
      </w:r>
      <w:r>
        <w:rPr>
          <w:lang w:val="is-IS"/>
        </w:rPr>
        <w:t>gagnast þeim sem standast greiðslumat fyrir 25 ára fasteignalán og eru þá líklega nær efri hluta tekjumarkanna en þeim neðri.</w:t>
      </w:r>
    </w:p>
    <w:p w14:paraId="21884518" w14:textId="77777777" w:rsidR="00CB1024" w:rsidRDefault="00CB1024" w:rsidP="00CB1024">
      <w:pPr>
        <w:rPr>
          <w:lang w:val="is-IS"/>
        </w:rPr>
      </w:pPr>
    </w:p>
    <w:p w14:paraId="03CF7B8B" w14:textId="3CC40D9A" w:rsidR="00CB1024" w:rsidRDefault="00CB1024" w:rsidP="00CB1024">
      <w:pPr>
        <w:rPr>
          <w:lang w:val="is-IS"/>
        </w:rPr>
      </w:pPr>
      <w:r>
        <w:rPr>
          <w:lang w:val="is-IS"/>
        </w:rPr>
        <w:t>Samkvæmt greinargerð frumvarpsins eiga hlutdeildarlánin fyrst og fremst að gagnast þeim sem eru í 4.-7. tekjutíund sem samkvæmt skilgreiningu ætti að teljast til millitekjufólks fremur en tekjulágs. Samkvæmt töflu 5 í greinargerð frumvarpsins eru það einmitt þær tekjutíundir sem fá mestan húsnæðisstuðning</w:t>
      </w:r>
      <w:r w:rsidR="0023576F">
        <w:rPr>
          <w:lang w:val="is-IS"/>
        </w:rPr>
        <w:t xml:space="preserve"> nú þegar</w:t>
      </w:r>
      <w:r>
        <w:rPr>
          <w:lang w:val="is-IS"/>
        </w:rPr>
        <w:t>. Ef stjórnvöld telji að þeir sem falli undir þessar tekjutíundir þurfi aukinn húsnæðisstuðning gefur það til kynna að núverandi stuðningskerfi séu ekki að virka sem skildi.</w:t>
      </w:r>
    </w:p>
    <w:p w14:paraId="49C34475" w14:textId="77777777" w:rsidR="00CB1024" w:rsidRDefault="00CB1024" w:rsidP="00CB1024">
      <w:pPr>
        <w:rPr>
          <w:lang w:val="is-IS"/>
        </w:rPr>
      </w:pPr>
    </w:p>
    <w:p w14:paraId="632628D9" w14:textId="77777777" w:rsidR="00CB1024" w:rsidRDefault="00CB1024" w:rsidP="00CB1024">
      <w:pPr>
        <w:rPr>
          <w:lang w:val="is-IS"/>
        </w:rPr>
      </w:pPr>
      <w:r>
        <w:rPr>
          <w:lang w:val="is-IS"/>
        </w:rPr>
        <w:t>Það er því töluverð hætta á því að hlutdeildarlánin gagnist fyrst og fremst þeim sem þurfa minnst á þeim að halda. Húsnæðisstuðningi hins opinbera væri mikið betur varið í þá sem sannarlega þurfa á honum að halda.</w:t>
      </w:r>
    </w:p>
    <w:p w14:paraId="49F9FFB2" w14:textId="77777777" w:rsidR="00CB1024" w:rsidRDefault="00CB1024" w:rsidP="00CB1024">
      <w:pPr>
        <w:jc w:val="both"/>
        <w:rPr>
          <w:lang w:val="is-IS"/>
        </w:rPr>
      </w:pPr>
    </w:p>
    <w:p w14:paraId="601A54BE" w14:textId="77777777" w:rsidR="009C3690" w:rsidRPr="00F51570" w:rsidRDefault="009C3690" w:rsidP="009C3690">
      <w:pPr>
        <w:pStyle w:val="ListParagraph"/>
        <w:numPr>
          <w:ilvl w:val="0"/>
          <w:numId w:val="14"/>
        </w:numPr>
        <w:jc w:val="both"/>
        <w:rPr>
          <w:b/>
          <w:bCs/>
          <w:lang w:val="is-IS"/>
        </w:rPr>
      </w:pPr>
      <w:r>
        <w:rPr>
          <w:b/>
          <w:bCs/>
          <w:lang w:val="is-IS"/>
        </w:rPr>
        <w:t>Of rúmar reglugerðaheimildir ráðherra</w:t>
      </w:r>
    </w:p>
    <w:p w14:paraId="2B7A0645" w14:textId="075FD34A" w:rsidR="00693DF3" w:rsidRDefault="00693DF3" w:rsidP="00964276">
      <w:pPr>
        <w:jc w:val="both"/>
        <w:rPr>
          <w:lang w:val="is-IS"/>
        </w:rPr>
      </w:pPr>
      <w:r w:rsidRPr="00693DF3">
        <w:rPr>
          <w:lang w:val="is-IS"/>
        </w:rPr>
        <w:t>Samkvæmt d-lið 2. gr. frumvarpsins er ráðherra meðal annars heimilt að kveða nánar á um hvaða skilyrði íbúðarhúsnæði skal uppfylla, þ.m.t. hámarkskaupverð, stærðarviðmið og samstarf við byggingaraðila skv. 29. gr. a., heimildir til að veita undanþágu frá 6. og 7. tölul. 1. mgr. 29. gr. b., nánari skilyrði fyrir veitingu hlutdeildarlána, þar á meðal um frekari skilyrði þess að geta fengið hlutdeildarlán, uppfærð tekjumörk og um eignastöðu kaupanda skv. 29. gr. b., endurgreiðslu hlutdeildarlána skv. 29. gr. c., mat á endurgreiðslufjárhæð skv. 29. gr. c., heimildir til tímabundinnar útleigu íbúðarhúsnæðis skv. 6. mgr. 29. gr. c. og gjaldfellingarheimild skv. 6. og 7. mgr. 29. gr. c.</w:t>
      </w:r>
    </w:p>
    <w:p w14:paraId="02396885" w14:textId="77777777" w:rsidR="00964276" w:rsidRPr="00693DF3" w:rsidRDefault="00964276" w:rsidP="00964276">
      <w:pPr>
        <w:jc w:val="both"/>
        <w:rPr>
          <w:lang w:val="is-IS"/>
        </w:rPr>
      </w:pPr>
    </w:p>
    <w:p w14:paraId="0284106F" w14:textId="1BCA85B8" w:rsidR="00596426" w:rsidRDefault="00693DF3" w:rsidP="00964276">
      <w:pPr>
        <w:rPr>
          <w:lang w:val="is-IS"/>
        </w:rPr>
      </w:pPr>
      <w:r w:rsidRPr="00693DF3">
        <w:rPr>
          <w:lang w:val="is-IS"/>
        </w:rPr>
        <w:t>Eins og sjá má er um mjög rúma heimild að ræða. Ofangreind atriði kunna að fela í sér takmörkun á réttindum borgara sem gætu notið verndar 72. gr. stjórnarskrárinnar auk þess sem mörg þessara atriða eru mjög matskennd. Það færi því betur á því að þau yrðu betur leidd til lykta í lögunum sjálfum og að reglugerðarheimildin yrði þrengd.</w:t>
      </w:r>
    </w:p>
    <w:p w14:paraId="4378ABB3" w14:textId="77777777" w:rsidR="00964276" w:rsidRDefault="00964276" w:rsidP="00964276">
      <w:pPr>
        <w:rPr>
          <w:lang w:val="is-IS"/>
        </w:rPr>
      </w:pPr>
    </w:p>
    <w:p w14:paraId="29BA3874" w14:textId="652D3AAD" w:rsidR="008112B7" w:rsidRPr="00F51570" w:rsidRDefault="00197F54" w:rsidP="00431875">
      <w:pPr>
        <w:pStyle w:val="ListParagraph"/>
        <w:keepNext/>
        <w:numPr>
          <w:ilvl w:val="0"/>
          <w:numId w:val="14"/>
        </w:numPr>
        <w:ind w:left="357" w:hanging="357"/>
        <w:rPr>
          <w:b/>
          <w:bCs/>
          <w:lang w:val="is-IS"/>
        </w:rPr>
      </w:pPr>
      <w:r w:rsidRPr="00F51570">
        <w:rPr>
          <w:b/>
          <w:bCs/>
          <w:lang w:val="is-IS"/>
        </w:rPr>
        <w:t>Samantekt</w:t>
      </w:r>
    </w:p>
    <w:p w14:paraId="419965A8" w14:textId="547B5BD4" w:rsidR="00D91EB4" w:rsidRDefault="00903D11">
      <w:pPr>
        <w:rPr>
          <w:lang w:val="is-IS"/>
        </w:rPr>
      </w:pPr>
      <w:r>
        <w:rPr>
          <w:lang w:val="is-IS"/>
        </w:rPr>
        <w:t>Markmið frumvarpsins</w:t>
      </w:r>
      <w:r w:rsidR="00431875">
        <w:rPr>
          <w:lang w:val="is-IS"/>
        </w:rPr>
        <w:t xml:space="preserve"> um</w:t>
      </w:r>
      <w:r>
        <w:rPr>
          <w:lang w:val="is-IS"/>
        </w:rPr>
        <w:t xml:space="preserve"> að styðja við fasteignakaup ungs fólk og tekjulágra er g</w:t>
      </w:r>
      <w:r w:rsidR="00431875">
        <w:rPr>
          <w:lang w:val="is-IS"/>
        </w:rPr>
        <w:t>öfugt</w:t>
      </w:r>
      <w:r w:rsidR="00D91EB4">
        <w:rPr>
          <w:lang w:val="is-IS"/>
        </w:rPr>
        <w:t>.</w:t>
      </w:r>
      <w:r>
        <w:rPr>
          <w:lang w:val="is-IS"/>
        </w:rPr>
        <w:t xml:space="preserve"> Óljóst er hins vegar hvort hlutdeildarlánin munu í raun bæta kjör þessa</w:t>
      </w:r>
      <w:r w:rsidR="00431875">
        <w:rPr>
          <w:lang w:val="is-IS"/>
        </w:rPr>
        <w:t>ra</w:t>
      </w:r>
      <w:r>
        <w:rPr>
          <w:lang w:val="is-IS"/>
        </w:rPr>
        <w:t xml:space="preserve"> hópa og vinna sum skilyrði frumvarpsins gegn </w:t>
      </w:r>
      <w:r w:rsidR="00431875">
        <w:rPr>
          <w:lang w:val="is-IS"/>
        </w:rPr>
        <w:t>því</w:t>
      </w:r>
      <w:r>
        <w:rPr>
          <w:lang w:val="is-IS"/>
        </w:rPr>
        <w:t xml:space="preserve">. Ef marka má reynslu annarra ríkja af sambærilegum lánum eru hlutdeildarlán líkleg til þess að hækka fasteignaverð nýrra íbúða á ákveðnum svæðum og gagnast þeim sem geta keypt </w:t>
      </w:r>
      <w:r>
        <w:rPr>
          <w:lang w:val="is-IS"/>
        </w:rPr>
        <w:lastRenderedPageBreak/>
        <w:t xml:space="preserve">íbúð án þessa stuðnings. </w:t>
      </w:r>
      <w:r w:rsidR="00431875">
        <w:rPr>
          <w:lang w:val="is-IS"/>
        </w:rPr>
        <w:t>M</w:t>
      </w:r>
      <w:r>
        <w:rPr>
          <w:lang w:val="is-IS"/>
        </w:rPr>
        <w:t>ikilvægt</w:t>
      </w:r>
      <w:r w:rsidR="00431875">
        <w:rPr>
          <w:lang w:val="is-IS"/>
        </w:rPr>
        <w:t xml:space="preserve"> er</w:t>
      </w:r>
      <w:r>
        <w:rPr>
          <w:lang w:val="is-IS"/>
        </w:rPr>
        <w:t xml:space="preserve"> að stuðningur</w:t>
      </w:r>
      <w:r w:rsidR="00431875">
        <w:rPr>
          <w:lang w:val="is-IS"/>
        </w:rPr>
        <w:t>inn</w:t>
      </w:r>
      <w:r>
        <w:rPr>
          <w:lang w:val="is-IS"/>
        </w:rPr>
        <w:t xml:space="preserve"> sé </w:t>
      </w:r>
      <w:r w:rsidR="00B575D8">
        <w:rPr>
          <w:lang w:val="is-IS"/>
        </w:rPr>
        <w:t xml:space="preserve">ekki of </w:t>
      </w:r>
      <w:r>
        <w:rPr>
          <w:lang w:val="is-IS"/>
        </w:rPr>
        <w:t xml:space="preserve">almennur en </w:t>
      </w:r>
      <w:r w:rsidR="00B575D8">
        <w:rPr>
          <w:lang w:val="is-IS"/>
        </w:rPr>
        <w:t xml:space="preserve">frekar </w:t>
      </w:r>
      <w:r w:rsidR="00AD5C3F">
        <w:rPr>
          <w:lang w:val="is-IS"/>
        </w:rPr>
        <w:t>afmarkaður við þann hóp sem þarf á aðstoðinni að halda.</w:t>
      </w:r>
    </w:p>
    <w:p w14:paraId="5E39CCB2" w14:textId="6A6EA4C0" w:rsidR="00AD5C3F" w:rsidRDefault="00AD5C3F">
      <w:pPr>
        <w:rPr>
          <w:lang w:val="is-IS"/>
        </w:rPr>
      </w:pPr>
    </w:p>
    <w:p w14:paraId="31B33CA8" w14:textId="12AA41D6" w:rsidR="00AD5C3F" w:rsidRDefault="00AD5C3F">
      <w:pPr>
        <w:rPr>
          <w:lang w:val="is-IS"/>
        </w:rPr>
      </w:pPr>
      <w:r w:rsidRPr="00CB1024">
        <w:rPr>
          <w:b/>
          <w:bCs/>
          <w:lang w:val="is-IS"/>
        </w:rPr>
        <w:t>Samtök atvinnulífsins telja að vinna þurfi frumvarpið betur áður en það verður að lögum.</w:t>
      </w:r>
      <w:r>
        <w:rPr>
          <w:lang w:val="is-IS"/>
        </w:rPr>
        <w:t xml:space="preserve"> Markmiðið er gott en </w:t>
      </w:r>
      <w:r w:rsidR="00D24E66">
        <w:rPr>
          <w:lang w:val="is-IS"/>
        </w:rPr>
        <w:t>úrræðið sjálft vekur upp margar spurningar sem þarf að svara.</w:t>
      </w:r>
      <w:r>
        <w:rPr>
          <w:lang w:val="is-IS"/>
        </w:rPr>
        <w:t xml:space="preserve"> Læra þarf af reynslu annarra ríkja og koma í veg fyrir að stuðningur af þessu tagi þrýsti upp húsnæðisverði og gagnist fyrst og fremst þeim sem þurfa lítið eða ekkert á </w:t>
      </w:r>
      <w:r w:rsidR="00B575D8">
        <w:rPr>
          <w:lang w:val="is-IS"/>
        </w:rPr>
        <w:t xml:space="preserve">honum </w:t>
      </w:r>
      <w:r>
        <w:rPr>
          <w:lang w:val="is-IS"/>
        </w:rPr>
        <w:t xml:space="preserve">að halda. </w:t>
      </w:r>
    </w:p>
    <w:p w14:paraId="01749206" w14:textId="77777777" w:rsidR="00097B45" w:rsidRDefault="00097B45" w:rsidP="0090084D">
      <w:pPr>
        <w:jc w:val="both"/>
        <w:rPr>
          <w:lang w:val="is-IS"/>
        </w:rPr>
      </w:pPr>
    </w:p>
    <w:p w14:paraId="1285E5D4" w14:textId="58CFDFF5" w:rsidR="008A5CF1" w:rsidRPr="008A5CF1" w:rsidRDefault="00097B45" w:rsidP="008A5CF1">
      <w:pPr>
        <w:jc w:val="both"/>
        <w:rPr>
          <w:lang w:val="is-IS"/>
        </w:rPr>
      </w:pPr>
      <w:r>
        <w:rPr>
          <w:lang w:val="is-IS"/>
        </w:rPr>
        <w:t>Samtök atvinnulífsins þakka fyrir tækifærið að koma sínum sjónarmiðum á framfæri og bjóða fram frekari aðstoð sé þess óskað.</w:t>
      </w:r>
    </w:p>
    <w:p w14:paraId="5A01DC27" w14:textId="1467AD85" w:rsidR="00805445" w:rsidRDefault="00805445" w:rsidP="00EF3581">
      <w:pPr>
        <w:jc w:val="both"/>
        <w:rPr>
          <w:lang w:val="is-IS"/>
        </w:rPr>
      </w:pPr>
    </w:p>
    <w:p w14:paraId="687889A0" w14:textId="5AE51F79" w:rsidR="00805445" w:rsidRDefault="00805445" w:rsidP="00EF3581">
      <w:pPr>
        <w:jc w:val="both"/>
        <w:rPr>
          <w:lang w:val="is-IS"/>
        </w:rPr>
      </w:pPr>
    </w:p>
    <w:p w14:paraId="64EFE04E" w14:textId="05DE020E" w:rsidR="007A23EA" w:rsidRDefault="007A23EA" w:rsidP="00E13A86">
      <w:pPr>
        <w:rPr>
          <w:lang w:val="is-IS"/>
        </w:rPr>
      </w:pPr>
      <w:r>
        <w:rPr>
          <w:lang w:val="is-IS"/>
        </w:rPr>
        <w:t>Virðingarfyllst,</w:t>
      </w:r>
    </w:p>
    <w:p w14:paraId="2DFFBB9D" w14:textId="3101776D" w:rsidR="00805445" w:rsidRDefault="006F7001" w:rsidP="00E13A86">
      <w:pPr>
        <w:rPr>
          <w:lang w:val="is-IS"/>
        </w:rPr>
      </w:pPr>
      <w:r>
        <w:rPr>
          <w:noProof/>
        </w:rPr>
        <w:drawing>
          <wp:anchor distT="0" distB="0" distL="114300" distR="114300" simplePos="0" relativeHeight="251660288" behindDoc="0" locked="0" layoutInCell="1" allowOverlap="1" wp14:anchorId="4B61AE5C" wp14:editId="084C91D4">
            <wp:simplePos x="0" y="0"/>
            <wp:positionH relativeFrom="column">
              <wp:posOffset>-255270</wp:posOffset>
            </wp:positionH>
            <wp:positionV relativeFrom="paragraph">
              <wp:posOffset>95885</wp:posOffset>
            </wp:positionV>
            <wp:extent cx="2608580" cy="428625"/>
            <wp:effectExtent l="0" t="0" r="127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08580" cy="428625"/>
                    </a:xfrm>
                    <a:prstGeom prst="rect">
                      <a:avLst/>
                    </a:prstGeom>
                  </pic:spPr>
                </pic:pic>
              </a:graphicData>
            </a:graphic>
            <wp14:sizeRelV relativeFrom="margin">
              <wp14:pctHeight>0</wp14:pctHeight>
            </wp14:sizeRelV>
          </wp:anchor>
        </w:drawing>
      </w:r>
    </w:p>
    <w:p w14:paraId="4BEA755A" w14:textId="031F39C3" w:rsidR="00805445" w:rsidRDefault="00805445" w:rsidP="00E13A86">
      <w:pPr>
        <w:rPr>
          <w:lang w:val="is-IS"/>
        </w:rPr>
      </w:pPr>
    </w:p>
    <w:p w14:paraId="7EFA3597" w14:textId="2024517B" w:rsidR="00805445" w:rsidRDefault="00805445" w:rsidP="00E13A86">
      <w:pPr>
        <w:rPr>
          <w:lang w:val="is-IS"/>
        </w:rPr>
      </w:pPr>
    </w:p>
    <w:p w14:paraId="4089CD67" w14:textId="328ABEE7" w:rsidR="00CB1024" w:rsidRDefault="00CB1024" w:rsidP="00E13A86">
      <w:pPr>
        <w:rPr>
          <w:lang w:val="is-IS"/>
        </w:rPr>
      </w:pPr>
      <w:r>
        <w:rPr>
          <w:lang w:val="is-IS"/>
        </w:rPr>
        <w:t>Halldór Benjamín Þorbergsson</w:t>
      </w:r>
    </w:p>
    <w:p w14:paraId="10C811AC" w14:textId="059B316B" w:rsidR="00CB1024" w:rsidRPr="00526B0A" w:rsidRDefault="00CB1024" w:rsidP="00E13A86">
      <w:pPr>
        <w:rPr>
          <w:lang w:val="is-IS"/>
        </w:rPr>
      </w:pPr>
      <w:r>
        <w:rPr>
          <w:lang w:val="is-IS"/>
        </w:rPr>
        <w:t>framkvæmdastjóri</w:t>
      </w:r>
      <w:bookmarkStart w:id="0" w:name="_GoBack"/>
      <w:bookmarkEnd w:id="0"/>
    </w:p>
    <w:sectPr w:rsidR="00CB1024" w:rsidRPr="00526B0A" w:rsidSect="008406D0">
      <w:headerReference w:type="default" r:id="rId19"/>
      <w:footerReference w:type="default" r:id="rId20"/>
      <w:headerReference w:type="first" r:id="rId21"/>
      <w:footerReference w:type="first" r:id="rId22"/>
      <w:pgSz w:w="11900" w:h="16840"/>
      <w:pgMar w:top="1985" w:right="1797" w:bottom="1440" w:left="179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74DF2" w16cex:dateUtc="2020-06-19T14:45:00Z"/>
  <w16cex:commentExtensible w16cex:durableId="2297506D" w16cex:dateUtc="2020-06-19T14:55:00Z"/>
  <w16cex:commentExtensible w16cex:durableId="229750A7" w16cex:dateUtc="2020-06-19T14:56:00Z"/>
  <w16cex:commentExtensible w16cex:durableId="229750F0" w16cex:dateUtc="2020-06-19T14: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420AA" w14:textId="77777777" w:rsidR="00FC7975" w:rsidRDefault="00FC7975" w:rsidP="0089343A">
      <w:r>
        <w:separator/>
      </w:r>
    </w:p>
  </w:endnote>
  <w:endnote w:type="continuationSeparator" w:id="0">
    <w:p w14:paraId="3052F9D7" w14:textId="77777777" w:rsidR="00FC7975" w:rsidRDefault="00FC7975" w:rsidP="0089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929620126"/>
      <w:docPartObj>
        <w:docPartGallery w:val="Page Numbers (Bottom of Page)"/>
        <w:docPartUnique/>
      </w:docPartObj>
    </w:sdtPr>
    <w:sdtEndPr>
      <w:rPr>
        <w:noProof/>
      </w:rPr>
    </w:sdtEndPr>
    <w:sdtContent>
      <w:p w14:paraId="27166C38" w14:textId="77777777" w:rsidR="00527969" w:rsidRPr="00E5130C" w:rsidRDefault="00527969" w:rsidP="00E5130C">
        <w:pPr>
          <w:pStyle w:val="Footer"/>
          <w:jc w:val="right"/>
          <w:rPr>
            <w:sz w:val="20"/>
            <w:szCs w:val="20"/>
          </w:rPr>
        </w:pPr>
        <w:r w:rsidRPr="00E5130C">
          <w:rPr>
            <w:sz w:val="20"/>
            <w:szCs w:val="20"/>
          </w:rPr>
          <w:fldChar w:fldCharType="begin"/>
        </w:r>
        <w:r w:rsidRPr="00E5130C">
          <w:rPr>
            <w:sz w:val="20"/>
            <w:szCs w:val="20"/>
          </w:rPr>
          <w:instrText xml:space="preserve"> PAGE   \* MERGEFORMAT </w:instrText>
        </w:r>
        <w:r w:rsidRPr="00E5130C">
          <w:rPr>
            <w:sz w:val="20"/>
            <w:szCs w:val="20"/>
          </w:rPr>
          <w:fldChar w:fldCharType="separate"/>
        </w:r>
        <w:r>
          <w:rPr>
            <w:noProof/>
            <w:sz w:val="20"/>
            <w:szCs w:val="20"/>
          </w:rPr>
          <w:t>9</w:t>
        </w:r>
        <w:r w:rsidRPr="00E5130C">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BF39C" w14:textId="77777777" w:rsidR="00527969" w:rsidRPr="005325F4" w:rsidRDefault="00527969" w:rsidP="005325F4">
    <w:pPr>
      <w:pStyle w:val="Footer"/>
      <w:jc w:val="center"/>
      <w:rPr>
        <w:rFonts w:ascii="Arial" w:hAnsi="Arial" w:cs="Arial"/>
        <w:color w:val="5C6670"/>
        <w:sz w:val="14"/>
        <w:szCs w:val="14"/>
      </w:rPr>
    </w:pPr>
    <w:r w:rsidRPr="00B31E74">
      <w:rPr>
        <w:rFonts w:ascii="Arial" w:hAnsi="Arial" w:cs="Arial"/>
        <w:color w:val="5C6670"/>
        <w:sz w:val="14"/>
        <w:szCs w:val="14"/>
      </w:rPr>
      <w:t xml:space="preserve">Samtök </w:t>
    </w:r>
    <w:proofErr w:type="gramStart"/>
    <w:r w:rsidRPr="00B31E74">
      <w:rPr>
        <w:rFonts w:ascii="Arial" w:hAnsi="Arial" w:cs="Arial"/>
        <w:color w:val="5C6670"/>
        <w:sz w:val="14"/>
        <w:szCs w:val="14"/>
      </w:rPr>
      <w:t>atvinnulífsins  |</w:t>
    </w:r>
    <w:proofErr w:type="gramEnd"/>
    <w:r w:rsidRPr="00B31E74">
      <w:rPr>
        <w:rFonts w:ascii="Arial" w:hAnsi="Arial" w:cs="Arial"/>
        <w:color w:val="5C6670"/>
        <w:sz w:val="14"/>
        <w:szCs w:val="14"/>
      </w:rPr>
      <w:t xml:space="preserve">  </w:t>
    </w:r>
    <w:proofErr w:type="spellStart"/>
    <w:r w:rsidRPr="00B31E74">
      <w:rPr>
        <w:rFonts w:ascii="Arial" w:hAnsi="Arial" w:cs="Arial"/>
        <w:color w:val="5C6670"/>
        <w:sz w:val="14"/>
        <w:szCs w:val="14"/>
      </w:rPr>
      <w:t>Borgartúni</w:t>
    </w:r>
    <w:proofErr w:type="spellEnd"/>
    <w:r w:rsidRPr="00B31E74">
      <w:rPr>
        <w:rFonts w:ascii="Arial" w:hAnsi="Arial" w:cs="Arial"/>
        <w:color w:val="5C6670"/>
        <w:sz w:val="14"/>
        <w:szCs w:val="14"/>
      </w:rPr>
      <w:t xml:space="preserve"> 35  |  105 Reykjavík  |  Sími 591 0000  |  </w:t>
    </w:r>
    <w:proofErr w:type="spellStart"/>
    <w:r w:rsidRPr="00B31E74">
      <w:rPr>
        <w:rFonts w:ascii="Arial" w:hAnsi="Arial" w:cs="Arial"/>
        <w:color w:val="5C6670"/>
        <w:sz w:val="14"/>
        <w:szCs w:val="14"/>
      </w:rPr>
      <w:t>Netfang</w:t>
    </w:r>
    <w:proofErr w:type="spellEnd"/>
    <w:r w:rsidRPr="00B31E74">
      <w:rPr>
        <w:rFonts w:ascii="Arial" w:hAnsi="Arial" w:cs="Arial"/>
        <w:color w:val="5C6670"/>
        <w:sz w:val="14"/>
        <w:szCs w:val="14"/>
      </w:rPr>
      <w:t xml:space="preserve"> sa@sa.is  |  www.sa.is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9A956" w14:textId="77777777" w:rsidR="00FC7975" w:rsidRDefault="00FC7975" w:rsidP="0089343A">
      <w:r>
        <w:separator/>
      </w:r>
    </w:p>
  </w:footnote>
  <w:footnote w:type="continuationSeparator" w:id="0">
    <w:p w14:paraId="56DAC567" w14:textId="77777777" w:rsidR="00FC7975" w:rsidRDefault="00FC7975" w:rsidP="00893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9FCC5" w14:textId="77777777" w:rsidR="00527969" w:rsidRDefault="00527969">
    <w:pPr>
      <w:pStyle w:val="Header"/>
    </w:pPr>
    <w:r>
      <w:rPr>
        <w:noProof/>
        <w:lang w:val="is-IS" w:eastAsia="is-IS"/>
      </w:rPr>
      <w:drawing>
        <wp:anchor distT="0" distB="0" distL="114300" distR="114300" simplePos="0" relativeHeight="251658240" behindDoc="0" locked="0" layoutInCell="1" allowOverlap="1" wp14:anchorId="4D4273DD" wp14:editId="0963CBA4">
          <wp:simplePos x="0" y="0"/>
          <wp:positionH relativeFrom="column">
            <wp:posOffset>5143500</wp:posOffset>
          </wp:positionH>
          <wp:positionV relativeFrom="paragraph">
            <wp:posOffset>-135890</wp:posOffset>
          </wp:positionV>
          <wp:extent cx="900000" cy="66325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ogo-RGB.png"/>
                  <pic:cNvPicPr/>
                </pic:nvPicPr>
                <pic:blipFill>
                  <a:blip r:embed="rId1">
                    <a:extLst>
                      <a:ext uri="{28A0092B-C50C-407E-A947-70E740481C1C}">
                        <a14:useLocalDpi xmlns:a14="http://schemas.microsoft.com/office/drawing/2010/main" val="0"/>
                      </a:ext>
                    </a:extLst>
                  </a:blip>
                  <a:stretch>
                    <a:fillRect/>
                  </a:stretch>
                </pic:blipFill>
                <pic:spPr>
                  <a:xfrm>
                    <a:off x="0" y="0"/>
                    <a:ext cx="900000" cy="66325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B695" w14:textId="0220F23A" w:rsidR="00527969" w:rsidRDefault="00527969" w:rsidP="008406D0">
    <w:pPr>
      <w:pStyle w:val="Header"/>
      <w:tabs>
        <w:tab w:val="clear" w:pos="4320"/>
        <w:tab w:val="clear" w:pos="8640"/>
        <w:tab w:val="left" w:pos="185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392E"/>
    <w:multiLevelType w:val="hybridMultilevel"/>
    <w:tmpl w:val="A9E422D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9BC1813"/>
    <w:multiLevelType w:val="hybridMultilevel"/>
    <w:tmpl w:val="96688E7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0A503FB8"/>
    <w:multiLevelType w:val="hybridMultilevel"/>
    <w:tmpl w:val="6DF0073C"/>
    <w:lvl w:ilvl="0" w:tplc="040F000F">
      <w:start w:val="1"/>
      <w:numFmt w:val="decimal"/>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137C3562"/>
    <w:multiLevelType w:val="hybridMultilevel"/>
    <w:tmpl w:val="0FAEFB22"/>
    <w:lvl w:ilvl="0" w:tplc="040F000F">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4" w15:restartNumberingAfterBreak="0">
    <w:nsid w:val="14397D0F"/>
    <w:multiLevelType w:val="hybridMultilevel"/>
    <w:tmpl w:val="F62EF31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1586775F"/>
    <w:multiLevelType w:val="hybridMultilevel"/>
    <w:tmpl w:val="B6CC2C6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1A4E524E"/>
    <w:multiLevelType w:val="hybridMultilevel"/>
    <w:tmpl w:val="3EF241E4"/>
    <w:lvl w:ilvl="0" w:tplc="040F000F">
      <w:start w:val="1"/>
      <w:numFmt w:val="decimal"/>
      <w:lvlText w:val="%1."/>
      <w:lvlJc w:val="left"/>
      <w:pPr>
        <w:ind w:left="780" w:hanging="360"/>
      </w:pPr>
    </w:lvl>
    <w:lvl w:ilvl="1" w:tplc="040F0019" w:tentative="1">
      <w:start w:val="1"/>
      <w:numFmt w:val="lowerLetter"/>
      <w:lvlText w:val="%2."/>
      <w:lvlJc w:val="left"/>
      <w:pPr>
        <w:ind w:left="1500" w:hanging="360"/>
      </w:pPr>
    </w:lvl>
    <w:lvl w:ilvl="2" w:tplc="040F001B" w:tentative="1">
      <w:start w:val="1"/>
      <w:numFmt w:val="lowerRoman"/>
      <w:lvlText w:val="%3."/>
      <w:lvlJc w:val="right"/>
      <w:pPr>
        <w:ind w:left="2220" w:hanging="180"/>
      </w:pPr>
    </w:lvl>
    <w:lvl w:ilvl="3" w:tplc="040F000F" w:tentative="1">
      <w:start w:val="1"/>
      <w:numFmt w:val="decimal"/>
      <w:lvlText w:val="%4."/>
      <w:lvlJc w:val="left"/>
      <w:pPr>
        <w:ind w:left="2940" w:hanging="360"/>
      </w:pPr>
    </w:lvl>
    <w:lvl w:ilvl="4" w:tplc="040F0019" w:tentative="1">
      <w:start w:val="1"/>
      <w:numFmt w:val="lowerLetter"/>
      <w:lvlText w:val="%5."/>
      <w:lvlJc w:val="left"/>
      <w:pPr>
        <w:ind w:left="3660" w:hanging="360"/>
      </w:pPr>
    </w:lvl>
    <w:lvl w:ilvl="5" w:tplc="040F001B" w:tentative="1">
      <w:start w:val="1"/>
      <w:numFmt w:val="lowerRoman"/>
      <w:lvlText w:val="%6."/>
      <w:lvlJc w:val="right"/>
      <w:pPr>
        <w:ind w:left="4380" w:hanging="180"/>
      </w:pPr>
    </w:lvl>
    <w:lvl w:ilvl="6" w:tplc="040F000F" w:tentative="1">
      <w:start w:val="1"/>
      <w:numFmt w:val="decimal"/>
      <w:lvlText w:val="%7."/>
      <w:lvlJc w:val="left"/>
      <w:pPr>
        <w:ind w:left="5100" w:hanging="360"/>
      </w:pPr>
    </w:lvl>
    <w:lvl w:ilvl="7" w:tplc="040F0019" w:tentative="1">
      <w:start w:val="1"/>
      <w:numFmt w:val="lowerLetter"/>
      <w:lvlText w:val="%8."/>
      <w:lvlJc w:val="left"/>
      <w:pPr>
        <w:ind w:left="5820" w:hanging="360"/>
      </w:pPr>
    </w:lvl>
    <w:lvl w:ilvl="8" w:tplc="040F001B" w:tentative="1">
      <w:start w:val="1"/>
      <w:numFmt w:val="lowerRoman"/>
      <w:lvlText w:val="%9."/>
      <w:lvlJc w:val="right"/>
      <w:pPr>
        <w:ind w:left="6540" w:hanging="180"/>
      </w:pPr>
    </w:lvl>
  </w:abstractNum>
  <w:abstractNum w:abstractNumId="7" w15:restartNumberingAfterBreak="0">
    <w:nsid w:val="2BEF3D86"/>
    <w:multiLevelType w:val="hybridMultilevel"/>
    <w:tmpl w:val="DA3E3448"/>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30097868"/>
    <w:multiLevelType w:val="hybridMultilevel"/>
    <w:tmpl w:val="F5601A9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15:restartNumberingAfterBreak="0">
    <w:nsid w:val="3C6A5BD9"/>
    <w:multiLevelType w:val="hybridMultilevel"/>
    <w:tmpl w:val="C5A60060"/>
    <w:lvl w:ilvl="0" w:tplc="040F0005">
      <w:start w:val="1"/>
      <w:numFmt w:val="bullet"/>
      <w:lvlText w:val=""/>
      <w:lvlJc w:val="left"/>
      <w:pPr>
        <w:ind w:left="720" w:hanging="360"/>
      </w:pPr>
      <w:rPr>
        <w:rFonts w:ascii="Wingdings" w:hAnsi="Wingdings" w:hint="default"/>
      </w:rPr>
    </w:lvl>
    <w:lvl w:ilvl="1" w:tplc="040F000B">
      <w:start w:val="1"/>
      <w:numFmt w:val="bullet"/>
      <w:lvlText w:val=""/>
      <w:lvlJc w:val="left"/>
      <w:pPr>
        <w:ind w:left="1440" w:hanging="360"/>
      </w:pPr>
      <w:rPr>
        <w:rFonts w:ascii="Wingdings" w:hAnsi="Wingdings"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46626A30"/>
    <w:multiLevelType w:val="hybridMultilevel"/>
    <w:tmpl w:val="1F402EE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5AE95BD5"/>
    <w:multiLevelType w:val="hybridMultilevel"/>
    <w:tmpl w:val="B826F9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0212F42"/>
    <w:multiLevelType w:val="hybridMultilevel"/>
    <w:tmpl w:val="61022188"/>
    <w:lvl w:ilvl="0" w:tplc="0809000F">
      <w:start w:val="1"/>
      <w:numFmt w:val="decimal"/>
      <w:lvlText w:val="%1."/>
      <w:lvlJc w:val="left"/>
      <w:pPr>
        <w:ind w:left="360" w:hanging="360"/>
      </w:pPr>
      <w:rPr>
        <w:rFonts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13" w15:restartNumberingAfterBreak="0">
    <w:nsid w:val="690E11F7"/>
    <w:multiLevelType w:val="hybridMultilevel"/>
    <w:tmpl w:val="E118F96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6FB42213"/>
    <w:multiLevelType w:val="hybridMultilevel"/>
    <w:tmpl w:val="AC4C7A86"/>
    <w:lvl w:ilvl="0" w:tplc="0809000F">
      <w:start w:val="1"/>
      <w:numFmt w:val="decimal"/>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795E6ED9"/>
    <w:multiLevelType w:val="hybridMultilevel"/>
    <w:tmpl w:val="73BEBDB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3"/>
  </w:num>
  <w:num w:numId="4">
    <w:abstractNumId w:val="10"/>
  </w:num>
  <w:num w:numId="5">
    <w:abstractNumId w:val="2"/>
  </w:num>
  <w:num w:numId="6">
    <w:abstractNumId w:val="13"/>
  </w:num>
  <w:num w:numId="7">
    <w:abstractNumId w:val="6"/>
  </w:num>
  <w:num w:numId="8">
    <w:abstractNumId w:val="7"/>
  </w:num>
  <w:num w:numId="9">
    <w:abstractNumId w:val="0"/>
  </w:num>
  <w:num w:numId="10">
    <w:abstractNumId w:val="5"/>
  </w:num>
  <w:num w:numId="11">
    <w:abstractNumId w:val="8"/>
  </w:num>
  <w:num w:numId="12">
    <w:abstractNumId w:val="1"/>
  </w:num>
  <w:num w:numId="13">
    <w:abstractNumId w:val="14"/>
  </w:num>
  <w:num w:numId="14">
    <w:abstractNumId w:val="12"/>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511"/>
    <w:rsid w:val="00004BE3"/>
    <w:rsid w:val="00006390"/>
    <w:rsid w:val="000068BE"/>
    <w:rsid w:val="00012235"/>
    <w:rsid w:val="00014251"/>
    <w:rsid w:val="000235D6"/>
    <w:rsid w:val="00043BA8"/>
    <w:rsid w:val="00044B69"/>
    <w:rsid w:val="0004723E"/>
    <w:rsid w:val="00047FCB"/>
    <w:rsid w:val="00052E6F"/>
    <w:rsid w:val="0005457D"/>
    <w:rsid w:val="00055C16"/>
    <w:rsid w:val="000639DA"/>
    <w:rsid w:val="00065F94"/>
    <w:rsid w:val="00070F5D"/>
    <w:rsid w:val="00074A74"/>
    <w:rsid w:val="0007775C"/>
    <w:rsid w:val="000855BA"/>
    <w:rsid w:val="0009094C"/>
    <w:rsid w:val="00093A7E"/>
    <w:rsid w:val="00095DCE"/>
    <w:rsid w:val="00097B45"/>
    <w:rsid w:val="000A72F6"/>
    <w:rsid w:val="000C3686"/>
    <w:rsid w:val="000D247B"/>
    <w:rsid w:val="000E13B4"/>
    <w:rsid w:val="000E3730"/>
    <w:rsid w:val="000E5BE3"/>
    <w:rsid w:val="000E6C12"/>
    <w:rsid w:val="000F6574"/>
    <w:rsid w:val="00100E3C"/>
    <w:rsid w:val="00110B10"/>
    <w:rsid w:val="0011456E"/>
    <w:rsid w:val="00122A66"/>
    <w:rsid w:val="00124878"/>
    <w:rsid w:val="001250AD"/>
    <w:rsid w:val="00135A42"/>
    <w:rsid w:val="00136259"/>
    <w:rsid w:val="00140C58"/>
    <w:rsid w:val="00141FB3"/>
    <w:rsid w:val="00157E49"/>
    <w:rsid w:val="00157FAE"/>
    <w:rsid w:val="00163E94"/>
    <w:rsid w:val="001658D3"/>
    <w:rsid w:val="00176947"/>
    <w:rsid w:val="001911A4"/>
    <w:rsid w:val="001917B8"/>
    <w:rsid w:val="00191DCE"/>
    <w:rsid w:val="00197F54"/>
    <w:rsid w:val="001A1777"/>
    <w:rsid w:val="001A488C"/>
    <w:rsid w:val="001A5ABE"/>
    <w:rsid w:val="001A5C7B"/>
    <w:rsid w:val="001B0DCB"/>
    <w:rsid w:val="001D03EB"/>
    <w:rsid w:val="001D2214"/>
    <w:rsid w:val="001D3C7F"/>
    <w:rsid w:val="001D618E"/>
    <w:rsid w:val="001E0774"/>
    <w:rsid w:val="001E39EB"/>
    <w:rsid w:val="001E6B27"/>
    <w:rsid w:val="001F2D04"/>
    <w:rsid w:val="001F4584"/>
    <w:rsid w:val="001F4D98"/>
    <w:rsid w:val="001F51E7"/>
    <w:rsid w:val="001F5FC9"/>
    <w:rsid w:val="00200C5C"/>
    <w:rsid w:val="0020422A"/>
    <w:rsid w:val="00205BB4"/>
    <w:rsid w:val="00206DE9"/>
    <w:rsid w:val="00212A85"/>
    <w:rsid w:val="00214C55"/>
    <w:rsid w:val="00217F2C"/>
    <w:rsid w:val="00221011"/>
    <w:rsid w:val="00227BB1"/>
    <w:rsid w:val="0023357F"/>
    <w:rsid w:val="0023376C"/>
    <w:rsid w:val="0023576F"/>
    <w:rsid w:val="00236D10"/>
    <w:rsid w:val="002532D8"/>
    <w:rsid w:val="0026475E"/>
    <w:rsid w:val="00270051"/>
    <w:rsid w:val="00270EA9"/>
    <w:rsid w:val="00275F88"/>
    <w:rsid w:val="00277AAF"/>
    <w:rsid w:val="00282A1C"/>
    <w:rsid w:val="00286FA3"/>
    <w:rsid w:val="00291E54"/>
    <w:rsid w:val="00293492"/>
    <w:rsid w:val="002A43F7"/>
    <w:rsid w:val="002B0DC4"/>
    <w:rsid w:val="002B2846"/>
    <w:rsid w:val="002B2B3C"/>
    <w:rsid w:val="002C025F"/>
    <w:rsid w:val="002D37AD"/>
    <w:rsid w:val="002E00C1"/>
    <w:rsid w:val="002F2E96"/>
    <w:rsid w:val="00311839"/>
    <w:rsid w:val="00312C52"/>
    <w:rsid w:val="00321B0F"/>
    <w:rsid w:val="00326390"/>
    <w:rsid w:val="00337186"/>
    <w:rsid w:val="00337CB6"/>
    <w:rsid w:val="0034229F"/>
    <w:rsid w:val="00350FDB"/>
    <w:rsid w:val="00352D2A"/>
    <w:rsid w:val="00356039"/>
    <w:rsid w:val="00364096"/>
    <w:rsid w:val="0036618D"/>
    <w:rsid w:val="00380093"/>
    <w:rsid w:val="0038129F"/>
    <w:rsid w:val="003822CC"/>
    <w:rsid w:val="003845F4"/>
    <w:rsid w:val="003915CC"/>
    <w:rsid w:val="00394D49"/>
    <w:rsid w:val="003969E1"/>
    <w:rsid w:val="003A01AD"/>
    <w:rsid w:val="003A359D"/>
    <w:rsid w:val="003A3A9B"/>
    <w:rsid w:val="003B1794"/>
    <w:rsid w:val="003B3EB5"/>
    <w:rsid w:val="003B491D"/>
    <w:rsid w:val="003B738F"/>
    <w:rsid w:val="003B7445"/>
    <w:rsid w:val="003C467F"/>
    <w:rsid w:val="003D11BB"/>
    <w:rsid w:val="003D176C"/>
    <w:rsid w:val="003D1A26"/>
    <w:rsid w:val="003D70F2"/>
    <w:rsid w:val="003E6DED"/>
    <w:rsid w:val="003E749E"/>
    <w:rsid w:val="003F23A4"/>
    <w:rsid w:val="003F5787"/>
    <w:rsid w:val="004009B2"/>
    <w:rsid w:val="004057B5"/>
    <w:rsid w:val="0041354F"/>
    <w:rsid w:val="00414365"/>
    <w:rsid w:val="0041705D"/>
    <w:rsid w:val="00425526"/>
    <w:rsid w:val="00425DDB"/>
    <w:rsid w:val="00425F5F"/>
    <w:rsid w:val="00431875"/>
    <w:rsid w:val="004320F5"/>
    <w:rsid w:val="00441B50"/>
    <w:rsid w:val="00457756"/>
    <w:rsid w:val="0046272C"/>
    <w:rsid w:val="004700D1"/>
    <w:rsid w:val="00470519"/>
    <w:rsid w:val="0047440F"/>
    <w:rsid w:val="00482C2E"/>
    <w:rsid w:val="00485B5D"/>
    <w:rsid w:val="004905D8"/>
    <w:rsid w:val="004A13B9"/>
    <w:rsid w:val="004A432F"/>
    <w:rsid w:val="004A4B7B"/>
    <w:rsid w:val="004B0CCA"/>
    <w:rsid w:val="004B4267"/>
    <w:rsid w:val="004C2542"/>
    <w:rsid w:val="004C492E"/>
    <w:rsid w:val="004C6052"/>
    <w:rsid w:val="004D1FDB"/>
    <w:rsid w:val="004D415C"/>
    <w:rsid w:val="004D7397"/>
    <w:rsid w:val="004E4D30"/>
    <w:rsid w:val="004E6392"/>
    <w:rsid w:val="004F1A10"/>
    <w:rsid w:val="004F1D5F"/>
    <w:rsid w:val="004F5A4D"/>
    <w:rsid w:val="0050097A"/>
    <w:rsid w:val="00502106"/>
    <w:rsid w:val="00513643"/>
    <w:rsid w:val="005215B9"/>
    <w:rsid w:val="00526A96"/>
    <w:rsid w:val="00526B0A"/>
    <w:rsid w:val="00527969"/>
    <w:rsid w:val="005325F4"/>
    <w:rsid w:val="00536ABA"/>
    <w:rsid w:val="00537E92"/>
    <w:rsid w:val="00550809"/>
    <w:rsid w:val="0055311C"/>
    <w:rsid w:val="00553839"/>
    <w:rsid w:val="00553B1D"/>
    <w:rsid w:val="00554FA4"/>
    <w:rsid w:val="0056185F"/>
    <w:rsid w:val="00561A1B"/>
    <w:rsid w:val="00564548"/>
    <w:rsid w:val="005666C3"/>
    <w:rsid w:val="00567F98"/>
    <w:rsid w:val="00570D29"/>
    <w:rsid w:val="00587E7A"/>
    <w:rsid w:val="00591DD1"/>
    <w:rsid w:val="00596426"/>
    <w:rsid w:val="005967E1"/>
    <w:rsid w:val="005A3B64"/>
    <w:rsid w:val="005A4F7C"/>
    <w:rsid w:val="005B6BF0"/>
    <w:rsid w:val="005C4AA4"/>
    <w:rsid w:val="005D0B56"/>
    <w:rsid w:val="005D62B5"/>
    <w:rsid w:val="005E5C7E"/>
    <w:rsid w:val="005E7BFB"/>
    <w:rsid w:val="006041B6"/>
    <w:rsid w:val="00604472"/>
    <w:rsid w:val="00610B9F"/>
    <w:rsid w:val="00627F19"/>
    <w:rsid w:val="0063280C"/>
    <w:rsid w:val="00636615"/>
    <w:rsid w:val="00636A3A"/>
    <w:rsid w:val="00640983"/>
    <w:rsid w:val="0064298F"/>
    <w:rsid w:val="006459B3"/>
    <w:rsid w:val="0065454A"/>
    <w:rsid w:val="006638D2"/>
    <w:rsid w:val="006743F1"/>
    <w:rsid w:val="00675DDE"/>
    <w:rsid w:val="006830E7"/>
    <w:rsid w:val="00685787"/>
    <w:rsid w:val="0068635D"/>
    <w:rsid w:val="006911D1"/>
    <w:rsid w:val="0069373C"/>
    <w:rsid w:val="00693DF3"/>
    <w:rsid w:val="0069517A"/>
    <w:rsid w:val="00697380"/>
    <w:rsid w:val="00697626"/>
    <w:rsid w:val="006C2762"/>
    <w:rsid w:val="006C591F"/>
    <w:rsid w:val="006C79CC"/>
    <w:rsid w:val="006D13AA"/>
    <w:rsid w:val="006D5801"/>
    <w:rsid w:val="006E0E80"/>
    <w:rsid w:val="006E2AB1"/>
    <w:rsid w:val="006E44F0"/>
    <w:rsid w:val="006E7765"/>
    <w:rsid w:val="006F7001"/>
    <w:rsid w:val="006F7C94"/>
    <w:rsid w:val="0071618A"/>
    <w:rsid w:val="007202AC"/>
    <w:rsid w:val="0073508C"/>
    <w:rsid w:val="00737A6F"/>
    <w:rsid w:val="00742770"/>
    <w:rsid w:val="00742A55"/>
    <w:rsid w:val="0075356F"/>
    <w:rsid w:val="00765DD2"/>
    <w:rsid w:val="00770ED3"/>
    <w:rsid w:val="007754DB"/>
    <w:rsid w:val="00783820"/>
    <w:rsid w:val="007A23EA"/>
    <w:rsid w:val="007A4899"/>
    <w:rsid w:val="007A6D27"/>
    <w:rsid w:val="007B0A2C"/>
    <w:rsid w:val="007B7755"/>
    <w:rsid w:val="007D41BE"/>
    <w:rsid w:val="007D538D"/>
    <w:rsid w:val="007D68A7"/>
    <w:rsid w:val="007D73C1"/>
    <w:rsid w:val="007E1654"/>
    <w:rsid w:val="007E25CF"/>
    <w:rsid w:val="007E2D54"/>
    <w:rsid w:val="007F0780"/>
    <w:rsid w:val="007F496B"/>
    <w:rsid w:val="007F5C06"/>
    <w:rsid w:val="007F7A56"/>
    <w:rsid w:val="00802761"/>
    <w:rsid w:val="00805445"/>
    <w:rsid w:val="008062AE"/>
    <w:rsid w:val="00806D9D"/>
    <w:rsid w:val="008112B7"/>
    <w:rsid w:val="00813538"/>
    <w:rsid w:val="00814541"/>
    <w:rsid w:val="00816CD4"/>
    <w:rsid w:val="00820D98"/>
    <w:rsid w:val="0082119D"/>
    <w:rsid w:val="0082159F"/>
    <w:rsid w:val="00826293"/>
    <w:rsid w:val="00836041"/>
    <w:rsid w:val="008406D0"/>
    <w:rsid w:val="00855E5E"/>
    <w:rsid w:val="00861343"/>
    <w:rsid w:val="00870906"/>
    <w:rsid w:val="008727BA"/>
    <w:rsid w:val="00873903"/>
    <w:rsid w:val="00877E1E"/>
    <w:rsid w:val="008840B6"/>
    <w:rsid w:val="00884D56"/>
    <w:rsid w:val="0089321B"/>
    <w:rsid w:val="0089343A"/>
    <w:rsid w:val="008A3A83"/>
    <w:rsid w:val="008A566B"/>
    <w:rsid w:val="008A5CF1"/>
    <w:rsid w:val="008B235C"/>
    <w:rsid w:val="008B3BC3"/>
    <w:rsid w:val="008B5500"/>
    <w:rsid w:val="008B6B99"/>
    <w:rsid w:val="008C6903"/>
    <w:rsid w:val="008D60FD"/>
    <w:rsid w:val="008D6F1E"/>
    <w:rsid w:val="008E1761"/>
    <w:rsid w:val="008E1853"/>
    <w:rsid w:val="008E747B"/>
    <w:rsid w:val="008F08FF"/>
    <w:rsid w:val="008F1443"/>
    <w:rsid w:val="008F2D7A"/>
    <w:rsid w:val="008F2EF5"/>
    <w:rsid w:val="008F4E85"/>
    <w:rsid w:val="008F5EEC"/>
    <w:rsid w:val="008F745C"/>
    <w:rsid w:val="0090084D"/>
    <w:rsid w:val="009022C0"/>
    <w:rsid w:val="00903D11"/>
    <w:rsid w:val="00907263"/>
    <w:rsid w:val="0091255D"/>
    <w:rsid w:val="00923F7B"/>
    <w:rsid w:val="009243FF"/>
    <w:rsid w:val="009353B9"/>
    <w:rsid w:val="009437DD"/>
    <w:rsid w:val="009467B8"/>
    <w:rsid w:val="0094720C"/>
    <w:rsid w:val="009561A3"/>
    <w:rsid w:val="009569CF"/>
    <w:rsid w:val="00964276"/>
    <w:rsid w:val="00971FFF"/>
    <w:rsid w:val="0097348A"/>
    <w:rsid w:val="00974252"/>
    <w:rsid w:val="00981C95"/>
    <w:rsid w:val="00982B43"/>
    <w:rsid w:val="009859F2"/>
    <w:rsid w:val="00990148"/>
    <w:rsid w:val="00994BC4"/>
    <w:rsid w:val="009973BD"/>
    <w:rsid w:val="009B1237"/>
    <w:rsid w:val="009B4129"/>
    <w:rsid w:val="009B7E3B"/>
    <w:rsid w:val="009C0C7A"/>
    <w:rsid w:val="009C2F77"/>
    <w:rsid w:val="009C3690"/>
    <w:rsid w:val="009D34DD"/>
    <w:rsid w:val="009E27F6"/>
    <w:rsid w:val="009E34CB"/>
    <w:rsid w:val="009E6802"/>
    <w:rsid w:val="009F312D"/>
    <w:rsid w:val="00A008F6"/>
    <w:rsid w:val="00A13D80"/>
    <w:rsid w:val="00A148E4"/>
    <w:rsid w:val="00A15305"/>
    <w:rsid w:val="00A25BFD"/>
    <w:rsid w:val="00A30BC6"/>
    <w:rsid w:val="00A30CE5"/>
    <w:rsid w:val="00A31188"/>
    <w:rsid w:val="00A36DD7"/>
    <w:rsid w:val="00A43C24"/>
    <w:rsid w:val="00A447A2"/>
    <w:rsid w:val="00A44A29"/>
    <w:rsid w:val="00A455EB"/>
    <w:rsid w:val="00A46DFB"/>
    <w:rsid w:val="00A479B6"/>
    <w:rsid w:val="00A61873"/>
    <w:rsid w:val="00A71D36"/>
    <w:rsid w:val="00A84CB1"/>
    <w:rsid w:val="00A859B4"/>
    <w:rsid w:val="00A9079C"/>
    <w:rsid w:val="00AA0E13"/>
    <w:rsid w:val="00AA28F5"/>
    <w:rsid w:val="00AB6141"/>
    <w:rsid w:val="00AB6338"/>
    <w:rsid w:val="00AC0836"/>
    <w:rsid w:val="00AC17C6"/>
    <w:rsid w:val="00AC3421"/>
    <w:rsid w:val="00AC34EE"/>
    <w:rsid w:val="00AC66F3"/>
    <w:rsid w:val="00AD519B"/>
    <w:rsid w:val="00AD5C3F"/>
    <w:rsid w:val="00AD749F"/>
    <w:rsid w:val="00AE2AB6"/>
    <w:rsid w:val="00AE5243"/>
    <w:rsid w:val="00AE5447"/>
    <w:rsid w:val="00AF5730"/>
    <w:rsid w:val="00B0262B"/>
    <w:rsid w:val="00B04517"/>
    <w:rsid w:val="00B14A2F"/>
    <w:rsid w:val="00B26A16"/>
    <w:rsid w:val="00B277AB"/>
    <w:rsid w:val="00B31E74"/>
    <w:rsid w:val="00B341B7"/>
    <w:rsid w:val="00B34B8D"/>
    <w:rsid w:val="00B366D8"/>
    <w:rsid w:val="00B42824"/>
    <w:rsid w:val="00B466BD"/>
    <w:rsid w:val="00B50E12"/>
    <w:rsid w:val="00B52A3D"/>
    <w:rsid w:val="00B52A85"/>
    <w:rsid w:val="00B54595"/>
    <w:rsid w:val="00B575D8"/>
    <w:rsid w:val="00B73210"/>
    <w:rsid w:val="00B8353B"/>
    <w:rsid w:val="00B86450"/>
    <w:rsid w:val="00B90A60"/>
    <w:rsid w:val="00B93C04"/>
    <w:rsid w:val="00B9460A"/>
    <w:rsid w:val="00BB129C"/>
    <w:rsid w:val="00BB5842"/>
    <w:rsid w:val="00BB6D2B"/>
    <w:rsid w:val="00BC1E2D"/>
    <w:rsid w:val="00BC4500"/>
    <w:rsid w:val="00BD057F"/>
    <w:rsid w:val="00BD0BE9"/>
    <w:rsid w:val="00BE6977"/>
    <w:rsid w:val="00BF0BB1"/>
    <w:rsid w:val="00BF4401"/>
    <w:rsid w:val="00BF6F4E"/>
    <w:rsid w:val="00C00964"/>
    <w:rsid w:val="00C021E8"/>
    <w:rsid w:val="00C02845"/>
    <w:rsid w:val="00C05E93"/>
    <w:rsid w:val="00C06408"/>
    <w:rsid w:val="00C130C8"/>
    <w:rsid w:val="00C22D28"/>
    <w:rsid w:val="00C23745"/>
    <w:rsid w:val="00C23B63"/>
    <w:rsid w:val="00C25B5F"/>
    <w:rsid w:val="00C4273A"/>
    <w:rsid w:val="00C45201"/>
    <w:rsid w:val="00C55990"/>
    <w:rsid w:val="00C5675E"/>
    <w:rsid w:val="00C60731"/>
    <w:rsid w:val="00C60E9A"/>
    <w:rsid w:val="00C62BE4"/>
    <w:rsid w:val="00C65516"/>
    <w:rsid w:val="00C66C63"/>
    <w:rsid w:val="00C7289E"/>
    <w:rsid w:val="00C74EAF"/>
    <w:rsid w:val="00C941AA"/>
    <w:rsid w:val="00C957A2"/>
    <w:rsid w:val="00CA0D88"/>
    <w:rsid w:val="00CA738F"/>
    <w:rsid w:val="00CB038B"/>
    <w:rsid w:val="00CB03B1"/>
    <w:rsid w:val="00CB1024"/>
    <w:rsid w:val="00CB43F2"/>
    <w:rsid w:val="00CB50C3"/>
    <w:rsid w:val="00CD1392"/>
    <w:rsid w:val="00CE4190"/>
    <w:rsid w:val="00CF154A"/>
    <w:rsid w:val="00D07B94"/>
    <w:rsid w:val="00D119FC"/>
    <w:rsid w:val="00D16C63"/>
    <w:rsid w:val="00D209BF"/>
    <w:rsid w:val="00D21715"/>
    <w:rsid w:val="00D22529"/>
    <w:rsid w:val="00D24E66"/>
    <w:rsid w:val="00D26341"/>
    <w:rsid w:val="00D26D52"/>
    <w:rsid w:val="00D26ED6"/>
    <w:rsid w:val="00D3274C"/>
    <w:rsid w:val="00D344A4"/>
    <w:rsid w:val="00D37E1F"/>
    <w:rsid w:val="00D40B8D"/>
    <w:rsid w:val="00D47E03"/>
    <w:rsid w:val="00D505CD"/>
    <w:rsid w:val="00D54392"/>
    <w:rsid w:val="00D61C0E"/>
    <w:rsid w:val="00D628B2"/>
    <w:rsid w:val="00D62F27"/>
    <w:rsid w:val="00D74E4D"/>
    <w:rsid w:val="00D82B2A"/>
    <w:rsid w:val="00D8713F"/>
    <w:rsid w:val="00D87DA1"/>
    <w:rsid w:val="00D91EB4"/>
    <w:rsid w:val="00D91F24"/>
    <w:rsid w:val="00DA6646"/>
    <w:rsid w:val="00DA7C94"/>
    <w:rsid w:val="00DC6D56"/>
    <w:rsid w:val="00DD4B0B"/>
    <w:rsid w:val="00DE3189"/>
    <w:rsid w:val="00DF07C6"/>
    <w:rsid w:val="00DF5535"/>
    <w:rsid w:val="00E12F8B"/>
    <w:rsid w:val="00E1321E"/>
    <w:rsid w:val="00E13A86"/>
    <w:rsid w:val="00E25EAA"/>
    <w:rsid w:val="00E26E7B"/>
    <w:rsid w:val="00E31BAC"/>
    <w:rsid w:val="00E35446"/>
    <w:rsid w:val="00E3560C"/>
    <w:rsid w:val="00E446D1"/>
    <w:rsid w:val="00E5130C"/>
    <w:rsid w:val="00E60265"/>
    <w:rsid w:val="00E6498A"/>
    <w:rsid w:val="00E70146"/>
    <w:rsid w:val="00E74968"/>
    <w:rsid w:val="00E749E1"/>
    <w:rsid w:val="00E7793E"/>
    <w:rsid w:val="00E8339C"/>
    <w:rsid w:val="00E866CD"/>
    <w:rsid w:val="00E87E31"/>
    <w:rsid w:val="00E902B3"/>
    <w:rsid w:val="00E92298"/>
    <w:rsid w:val="00E93BA7"/>
    <w:rsid w:val="00EA1331"/>
    <w:rsid w:val="00EA1C22"/>
    <w:rsid w:val="00EA2807"/>
    <w:rsid w:val="00EA307F"/>
    <w:rsid w:val="00EA6770"/>
    <w:rsid w:val="00EB2E57"/>
    <w:rsid w:val="00EC1CC7"/>
    <w:rsid w:val="00EE43CF"/>
    <w:rsid w:val="00EE5195"/>
    <w:rsid w:val="00EF1072"/>
    <w:rsid w:val="00EF3581"/>
    <w:rsid w:val="00F02B7F"/>
    <w:rsid w:val="00F060B9"/>
    <w:rsid w:val="00F06820"/>
    <w:rsid w:val="00F2170D"/>
    <w:rsid w:val="00F37308"/>
    <w:rsid w:val="00F51511"/>
    <w:rsid w:val="00F51570"/>
    <w:rsid w:val="00F52D46"/>
    <w:rsid w:val="00F579F9"/>
    <w:rsid w:val="00F60D9D"/>
    <w:rsid w:val="00F64299"/>
    <w:rsid w:val="00F81DCD"/>
    <w:rsid w:val="00F8476F"/>
    <w:rsid w:val="00F85342"/>
    <w:rsid w:val="00F922B6"/>
    <w:rsid w:val="00F922E7"/>
    <w:rsid w:val="00FA203C"/>
    <w:rsid w:val="00FA57AB"/>
    <w:rsid w:val="00FB09B3"/>
    <w:rsid w:val="00FB155A"/>
    <w:rsid w:val="00FB39EC"/>
    <w:rsid w:val="00FC1FC1"/>
    <w:rsid w:val="00FC29DE"/>
    <w:rsid w:val="00FC4E9A"/>
    <w:rsid w:val="00FC7975"/>
    <w:rsid w:val="00FD1A2F"/>
    <w:rsid w:val="00FD61B3"/>
    <w:rsid w:val="00FD6CF3"/>
    <w:rsid w:val="00FE638F"/>
    <w:rsid w:val="00FE6FCF"/>
    <w:rsid w:val="00FF5660"/>
    <w:rsid w:val="00FF5AEF"/>
    <w:rsid w:val="00FF741A"/>
    <w:rsid w:val="00FF7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92DC15"/>
  <w14:defaultImageDpi w14:val="300"/>
  <w15:docId w15:val="{2C098497-610E-418A-A20D-48AA05D1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6338"/>
  </w:style>
  <w:style w:type="paragraph" w:styleId="Heading1">
    <w:name w:val="heading 1"/>
    <w:basedOn w:val="Normal"/>
    <w:next w:val="Normal"/>
    <w:link w:val="Heading1Char"/>
    <w:uiPriority w:val="9"/>
    <w:qFormat/>
    <w:rsid w:val="00350F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50FD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235D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43A"/>
    <w:pPr>
      <w:tabs>
        <w:tab w:val="center" w:pos="4320"/>
        <w:tab w:val="right" w:pos="8640"/>
      </w:tabs>
    </w:pPr>
  </w:style>
  <w:style w:type="character" w:customStyle="1" w:styleId="HeaderChar">
    <w:name w:val="Header Char"/>
    <w:basedOn w:val="DefaultParagraphFont"/>
    <w:link w:val="Header"/>
    <w:uiPriority w:val="99"/>
    <w:rsid w:val="0089343A"/>
  </w:style>
  <w:style w:type="paragraph" w:styleId="Footer">
    <w:name w:val="footer"/>
    <w:basedOn w:val="Normal"/>
    <w:link w:val="FooterChar"/>
    <w:uiPriority w:val="99"/>
    <w:unhideWhenUsed/>
    <w:rsid w:val="0089343A"/>
    <w:pPr>
      <w:tabs>
        <w:tab w:val="center" w:pos="4320"/>
        <w:tab w:val="right" w:pos="8640"/>
      </w:tabs>
    </w:pPr>
  </w:style>
  <w:style w:type="character" w:customStyle="1" w:styleId="FooterChar">
    <w:name w:val="Footer Char"/>
    <w:basedOn w:val="DefaultParagraphFont"/>
    <w:link w:val="Footer"/>
    <w:uiPriority w:val="99"/>
    <w:rsid w:val="0089343A"/>
  </w:style>
  <w:style w:type="paragraph" w:styleId="BalloonText">
    <w:name w:val="Balloon Text"/>
    <w:basedOn w:val="Normal"/>
    <w:link w:val="BalloonTextChar"/>
    <w:uiPriority w:val="99"/>
    <w:semiHidden/>
    <w:unhideWhenUsed/>
    <w:rsid w:val="008934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343A"/>
    <w:rPr>
      <w:rFonts w:ascii="Lucida Grande" w:hAnsi="Lucida Grande" w:cs="Lucida Grande"/>
      <w:sz w:val="18"/>
      <w:szCs w:val="18"/>
    </w:rPr>
  </w:style>
  <w:style w:type="character" w:customStyle="1" w:styleId="Heading1Char">
    <w:name w:val="Heading 1 Char"/>
    <w:basedOn w:val="DefaultParagraphFont"/>
    <w:link w:val="Heading1"/>
    <w:uiPriority w:val="9"/>
    <w:rsid w:val="00350FDB"/>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350FD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0FD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50FDB"/>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206DE9"/>
    <w:rPr>
      <w:color w:val="0000FF" w:themeColor="hyperlink"/>
      <w:u w:val="single"/>
    </w:rPr>
  </w:style>
  <w:style w:type="paragraph" w:styleId="ListParagraph">
    <w:name w:val="List Paragraph"/>
    <w:basedOn w:val="Normal"/>
    <w:uiPriority w:val="34"/>
    <w:qFormat/>
    <w:rsid w:val="00206DE9"/>
    <w:pPr>
      <w:ind w:left="720"/>
      <w:contextualSpacing/>
    </w:pPr>
  </w:style>
  <w:style w:type="paragraph" w:styleId="Caption">
    <w:name w:val="caption"/>
    <w:basedOn w:val="Normal"/>
    <w:next w:val="Normal"/>
    <w:uiPriority w:val="35"/>
    <w:unhideWhenUsed/>
    <w:qFormat/>
    <w:rsid w:val="00321B0F"/>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E12F8B"/>
    <w:rPr>
      <w:sz w:val="16"/>
      <w:szCs w:val="16"/>
    </w:rPr>
  </w:style>
  <w:style w:type="paragraph" w:styleId="CommentText">
    <w:name w:val="annotation text"/>
    <w:basedOn w:val="Normal"/>
    <w:link w:val="CommentTextChar"/>
    <w:uiPriority w:val="99"/>
    <w:unhideWhenUsed/>
    <w:rsid w:val="00E12F8B"/>
    <w:rPr>
      <w:sz w:val="20"/>
      <w:szCs w:val="20"/>
    </w:rPr>
  </w:style>
  <w:style w:type="character" w:customStyle="1" w:styleId="CommentTextChar">
    <w:name w:val="Comment Text Char"/>
    <w:basedOn w:val="DefaultParagraphFont"/>
    <w:link w:val="CommentText"/>
    <w:uiPriority w:val="99"/>
    <w:rsid w:val="00E12F8B"/>
    <w:rPr>
      <w:sz w:val="20"/>
      <w:szCs w:val="20"/>
    </w:rPr>
  </w:style>
  <w:style w:type="paragraph" w:styleId="CommentSubject">
    <w:name w:val="annotation subject"/>
    <w:basedOn w:val="CommentText"/>
    <w:next w:val="CommentText"/>
    <w:link w:val="CommentSubjectChar"/>
    <w:uiPriority w:val="99"/>
    <w:semiHidden/>
    <w:unhideWhenUsed/>
    <w:rsid w:val="00E12F8B"/>
    <w:rPr>
      <w:b/>
      <w:bCs/>
    </w:rPr>
  </w:style>
  <w:style w:type="character" w:customStyle="1" w:styleId="CommentSubjectChar">
    <w:name w:val="Comment Subject Char"/>
    <w:basedOn w:val="CommentTextChar"/>
    <w:link w:val="CommentSubject"/>
    <w:uiPriority w:val="99"/>
    <w:semiHidden/>
    <w:rsid w:val="00E12F8B"/>
    <w:rPr>
      <w:b/>
      <w:bCs/>
      <w:sz w:val="20"/>
      <w:szCs w:val="20"/>
    </w:rPr>
  </w:style>
  <w:style w:type="character" w:customStyle="1" w:styleId="Heading3Char">
    <w:name w:val="Heading 3 Char"/>
    <w:basedOn w:val="DefaultParagraphFont"/>
    <w:link w:val="Heading3"/>
    <w:uiPriority w:val="9"/>
    <w:semiHidden/>
    <w:rsid w:val="000235D6"/>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B42824"/>
    <w:rPr>
      <w:sz w:val="20"/>
      <w:szCs w:val="20"/>
    </w:rPr>
  </w:style>
  <w:style w:type="character" w:customStyle="1" w:styleId="FootnoteTextChar">
    <w:name w:val="Footnote Text Char"/>
    <w:basedOn w:val="DefaultParagraphFont"/>
    <w:link w:val="FootnoteText"/>
    <w:uiPriority w:val="99"/>
    <w:semiHidden/>
    <w:rsid w:val="00B42824"/>
    <w:rPr>
      <w:sz w:val="20"/>
      <w:szCs w:val="20"/>
    </w:rPr>
  </w:style>
  <w:style w:type="character" w:styleId="FootnoteReference">
    <w:name w:val="footnote reference"/>
    <w:basedOn w:val="DefaultParagraphFont"/>
    <w:uiPriority w:val="99"/>
    <w:semiHidden/>
    <w:unhideWhenUsed/>
    <w:rsid w:val="00B42824"/>
    <w:rPr>
      <w:vertAlign w:val="superscript"/>
    </w:rPr>
  </w:style>
  <w:style w:type="character" w:styleId="UnresolvedMention">
    <w:name w:val="Unresolved Mention"/>
    <w:basedOn w:val="DefaultParagraphFont"/>
    <w:uiPriority w:val="99"/>
    <w:semiHidden/>
    <w:unhideWhenUsed/>
    <w:rsid w:val="00D22529"/>
    <w:rPr>
      <w:color w:val="808080"/>
      <w:shd w:val="clear" w:color="auto" w:fill="E6E6E6"/>
    </w:rPr>
  </w:style>
  <w:style w:type="table" w:styleId="TableGrid">
    <w:name w:val="Table Grid"/>
    <w:basedOn w:val="TableNormal"/>
    <w:uiPriority w:val="59"/>
    <w:rsid w:val="00AB6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90726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7754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6E2AB1"/>
    <w:pPr>
      <w:spacing w:before="100" w:beforeAutospacing="1" w:after="100" w:afterAutospacing="1"/>
    </w:pPr>
    <w:rPr>
      <w:rFonts w:ascii="Times New Roman" w:eastAsia="Times New Roman" w:hAnsi="Times New Roman" w:cs="Times New Roman"/>
      <w:lang w:val="is-IS" w:eastAsia="is-IS"/>
    </w:rPr>
  </w:style>
  <w:style w:type="table" w:styleId="TableGridLight">
    <w:name w:val="Grid Table Light"/>
    <w:basedOn w:val="TableNormal"/>
    <w:uiPriority w:val="40"/>
    <w:rsid w:val="001F458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261983">
      <w:bodyDiv w:val="1"/>
      <w:marLeft w:val="0"/>
      <w:marRight w:val="0"/>
      <w:marTop w:val="0"/>
      <w:marBottom w:val="0"/>
      <w:divBdr>
        <w:top w:val="none" w:sz="0" w:space="0" w:color="auto"/>
        <w:left w:val="none" w:sz="0" w:space="0" w:color="auto"/>
        <w:bottom w:val="none" w:sz="0" w:space="0" w:color="auto"/>
        <w:right w:val="none" w:sz="0" w:space="0" w:color="auto"/>
      </w:divBdr>
    </w:div>
    <w:div w:id="371805012">
      <w:bodyDiv w:val="1"/>
      <w:marLeft w:val="0"/>
      <w:marRight w:val="0"/>
      <w:marTop w:val="0"/>
      <w:marBottom w:val="0"/>
      <w:divBdr>
        <w:top w:val="none" w:sz="0" w:space="0" w:color="auto"/>
        <w:left w:val="none" w:sz="0" w:space="0" w:color="auto"/>
        <w:bottom w:val="none" w:sz="0" w:space="0" w:color="auto"/>
        <w:right w:val="none" w:sz="0" w:space="0" w:color="auto"/>
      </w:divBdr>
      <w:divsChild>
        <w:div w:id="1337073256">
          <w:marLeft w:val="0"/>
          <w:marRight w:val="0"/>
          <w:marTop w:val="0"/>
          <w:marBottom w:val="0"/>
          <w:divBdr>
            <w:top w:val="none" w:sz="0" w:space="0" w:color="auto"/>
            <w:left w:val="none" w:sz="0" w:space="0" w:color="auto"/>
            <w:bottom w:val="none" w:sz="0" w:space="0" w:color="auto"/>
            <w:right w:val="none" w:sz="0" w:space="0" w:color="auto"/>
          </w:divBdr>
        </w:div>
      </w:divsChild>
    </w:div>
    <w:div w:id="711342257">
      <w:bodyDiv w:val="1"/>
      <w:marLeft w:val="0"/>
      <w:marRight w:val="0"/>
      <w:marTop w:val="0"/>
      <w:marBottom w:val="0"/>
      <w:divBdr>
        <w:top w:val="none" w:sz="0" w:space="0" w:color="auto"/>
        <w:left w:val="none" w:sz="0" w:space="0" w:color="auto"/>
        <w:bottom w:val="none" w:sz="0" w:space="0" w:color="auto"/>
        <w:right w:val="none" w:sz="0" w:space="0" w:color="auto"/>
      </w:divBdr>
    </w:div>
    <w:div w:id="1068923963">
      <w:bodyDiv w:val="1"/>
      <w:marLeft w:val="0"/>
      <w:marRight w:val="0"/>
      <w:marTop w:val="0"/>
      <w:marBottom w:val="0"/>
      <w:divBdr>
        <w:top w:val="none" w:sz="0" w:space="0" w:color="auto"/>
        <w:left w:val="none" w:sz="0" w:space="0" w:color="auto"/>
        <w:bottom w:val="none" w:sz="0" w:space="0" w:color="auto"/>
        <w:right w:val="none" w:sz="0" w:space="0" w:color="auto"/>
      </w:divBdr>
    </w:div>
    <w:div w:id="1232154103">
      <w:bodyDiv w:val="1"/>
      <w:marLeft w:val="0"/>
      <w:marRight w:val="0"/>
      <w:marTop w:val="0"/>
      <w:marBottom w:val="0"/>
      <w:divBdr>
        <w:top w:val="none" w:sz="0" w:space="0" w:color="auto"/>
        <w:left w:val="none" w:sz="0" w:space="0" w:color="auto"/>
        <w:bottom w:val="none" w:sz="0" w:space="0" w:color="auto"/>
        <w:right w:val="none" w:sz="0" w:space="0" w:color="auto"/>
      </w:divBdr>
    </w:div>
    <w:div w:id="1331526120">
      <w:bodyDiv w:val="1"/>
      <w:marLeft w:val="0"/>
      <w:marRight w:val="0"/>
      <w:marTop w:val="0"/>
      <w:marBottom w:val="0"/>
      <w:divBdr>
        <w:top w:val="none" w:sz="0" w:space="0" w:color="auto"/>
        <w:left w:val="none" w:sz="0" w:space="0" w:color="auto"/>
        <w:bottom w:val="none" w:sz="0" w:space="0" w:color="auto"/>
        <w:right w:val="none" w:sz="0" w:space="0" w:color="auto"/>
      </w:divBdr>
    </w:div>
    <w:div w:id="1690138388">
      <w:bodyDiv w:val="1"/>
      <w:marLeft w:val="0"/>
      <w:marRight w:val="0"/>
      <w:marTop w:val="0"/>
      <w:marBottom w:val="0"/>
      <w:divBdr>
        <w:top w:val="none" w:sz="0" w:space="0" w:color="auto"/>
        <w:left w:val="none" w:sz="0" w:space="0" w:color="auto"/>
        <w:bottom w:val="none" w:sz="0" w:space="0" w:color="auto"/>
        <w:right w:val="none" w:sz="0" w:space="0" w:color="auto"/>
      </w:divBdr>
      <w:divsChild>
        <w:div w:id="18731114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dependent.co.uk/news/business/analysis-and-features/economic-focus-does-anyone-think-help-to-buy-is-a-good-idea-8849839.html"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file://localhost/Volumes/HDD/toringolfsson/Desktop/Brefsefni%20WordTemplate/SA-logo-RGB.png" TargetMode="External"/><Relationship Id="rId17" Type="http://schemas.openxmlformats.org/officeDocument/2006/relationships/hyperlink" Target="https://www.gov.scot/binaries/content/documents/govscot/publications/research-and-analysis/2020/06/evaluation-scottish-government-shared-equity-schemes/documents/evaluation-scottish-government-shared-equity-schemes/evaluation-scottish-government-shared-equity-schemes/govscot%3Adocument/evaluation-scottish-government-shared-equity-schemes.pdf?forceDownload=true"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parliament.uk/business/committees/committees-a-z/commons-select/public-accounts-committee/news-parliament-2017/help-to-buy-report-published-17-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heguardian.com/money/2013/mar/26/help-to-buy-house-prices-ob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t.com/content/6f8c2d50-30f3-11e3-b478-00144feab7de"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rdur\AppData\Local\Microsoft\Windows\Temporary%20Internet%20Files\Content.Outlook\HDNMQS4Z\SA%20bref%20is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FB4FA718B0CF47A21A457F6951F742" ma:contentTypeVersion="5" ma:contentTypeDescription="Create a new document." ma:contentTypeScope="" ma:versionID="3bd748593b8ae758449be3d5f9abc845">
  <xsd:schema xmlns:xsd="http://www.w3.org/2001/XMLSchema" xmlns:xs="http://www.w3.org/2001/XMLSchema" xmlns:p="http://schemas.microsoft.com/office/2006/metadata/properties" xmlns:ns3="b4e6871e-9d9f-4db5-8ddd-1b1d9a923310" xmlns:ns4="89696f54-a396-43bc-a60d-fdb8462c3055" targetNamespace="http://schemas.microsoft.com/office/2006/metadata/properties" ma:root="true" ma:fieldsID="130fbc50a610631925ca29656ffae201" ns3:_="" ns4:_="">
    <xsd:import namespace="b4e6871e-9d9f-4db5-8ddd-1b1d9a923310"/>
    <xsd:import namespace="89696f54-a396-43bc-a60d-fdb8462c30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6871e-9d9f-4db5-8ddd-1b1d9a923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696f54-a396-43bc-a60d-fdb8462c30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98F65-24D8-4EE6-95BF-F5D00B00D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6871e-9d9f-4db5-8ddd-1b1d9a923310"/>
    <ds:schemaRef ds:uri="89696f54-a396-43bc-a60d-fdb8462c30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A39FAA-3A3B-4FC4-8934-450193DDF3FB}">
  <ds:schemaRefs>
    <ds:schemaRef ds:uri="http://schemas.microsoft.com/sharepoint/v3/contenttype/forms"/>
  </ds:schemaRefs>
</ds:datastoreItem>
</file>

<file path=customXml/itemProps3.xml><?xml version="1.0" encoding="utf-8"?>
<ds:datastoreItem xmlns:ds="http://schemas.openxmlformats.org/officeDocument/2006/customXml" ds:itemID="{4E3BBA96-A9CD-45B9-8998-26DDF13051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AAFD5E-714B-4AC8-AE77-D56181ECA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 bref isl</Template>
  <TotalTime>5</TotalTime>
  <Pages>5</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petur@sa.is</dc:creator>
  <cp:lastModifiedBy>Sigríður Ásmundsdóttir</cp:lastModifiedBy>
  <cp:revision>4</cp:revision>
  <cp:lastPrinted>2019-08-12T15:52:00Z</cp:lastPrinted>
  <dcterms:created xsi:type="dcterms:W3CDTF">2020-06-22T10:15:00Z</dcterms:created>
  <dcterms:modified xsi:type="dcterms:W3CDTF">2020-06-22T10:19:00Z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0x010100E6FB4FA718B0CF47A21A457F6951F742</vt:lpwstr>
  </property>
</Properties>
</file>